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Rothschild &amp; Co</w:t>
      </w:r>
    </w:p>
    <w:p>
      <w:pPr>
        <w:spacing w:after="0"/>
      </w:pPr>
      <w:r>
        <w:rPr>
          <w:b w:val="0"/>
        </w:rPr>
        <w:t>New Court, St Swithin's Lane</w:t>
      </w:r>
    </w:p>
    <w:p>
      <w:pPr>
        <w:spacing w:after="0"/>
      </w:pPr>
      <w:r>
        <w:rPr>
          <w:b w:val="0"/>
        </w:rPr>
        <w:t>London EC4N 8AL</w:t>
      </w:r>
    </w:p>
    <w:p>
      <w:pPr>
        <w:spacing w:after="0"/>
      </w:pPr>
      <w:r>
        <w:rPr>
          <w:b w:val="0"/>
        </w:rPr>
      </w:r>
    </w:p>
    <w:p>
      <w:pPr>
        <w:spacing w:after="160"/>
      </w:pPr>
      <w:r>
        <w:rPr>
          <w:b w:val="0"/>
        </w:rPr>
        <w:t>Dear Sir or Madam,</w:t>
      </w:r>
    </w:p>
    <w:p>
      <w:pPr>
        <w:spacing w:after="160"/>
      </w:pPr>
      <w:r>
        <w:rPr>
          <w:b w:val="0"/>
        </w:rPr>
        <w:t>I am applying for the Evergreen – 2027 Global Advisory Graduate Programme in London. I am a final-year Economics student at the University of Strathclyde, graduating in summer 2027 with a predicted 2:1. Rothschild &amp; Co's role as joint lead financial adviser to McCormick on its combination with Unilever's Foods business, announced in March 2026, sits right where my interest in food and agribusiness transactions began.</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Rothschild &amp; Co's Global Advisory business stands out to me because its independence lets it lead complex cross-border transactions such as McCormick's $66 billion combination with Unilever Foods, structured as a Reverse Morris Trust and described by the firm as the second-largest food transaction ever. Explaining why SALIC wanted a stake in Olam Agri taught me that the structure of a deal often matters as much as its headline value, and I would like to learn that craft from the bankers who design deals like this one.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