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British International Investment</w:t>
      </w:r>
    </w:p>
    <w:p>
      <w:pPr>
        <w:spacing w:after="0"/>
      </w:pPr>
      <w:r>
        <w:rPr>
          <w:b w:val="0"/>
        </w:rPr>
        <w:t>123 Victoria Street</w:t>
      </w:r>
    </w:p>
    <w:p>
      <w:pPr>
        <w:spacing w:after="0"/>
      </w:pPr>
      <w:r>
        <w:rPr>
          <w:b w:val="0"/>
        </w:rPr>
        <w:t>London SW1E 6DE</w:t>
      </w:r>
    </w:p>
    <w:p>
      <w:pPr>
        <w:spacing w:after="0"/>
      </w:pPr>
      <w:r>
        <w:rPr>
          <w:b w:val="0"/>
        </w:rPr>
      </w:r>
    </w:p>
    <w:p>
      <w:pPr>
        <w:spacing w:after="160"/>
      </w:pPr>
      <w:r>
        <w:rPr>
          <w:b w:val="0"/>
        </w:rPr>
        <w:t>Dear Sir or Madam,</w:t>
      </w:r>
    </w:p>
    <w:p>
      <w:pPr>
        <w:spacing w:after="160"/>
      </w:pPr>
      <w:r>
        <w:rPr>
          <w:b w:val="0"/>
        </w:rPr>
        <w:t>I am applying for the 2027 Investment and Impact Graduate Analyst Programme in London. I am a final-year Economics student at the University of Strathclyde, graduating in summer 2027 with a predicted 2:1. British International Investment's commitment to AFEX, Africa's leading commodities platform serving more than 450,000 farmers, connects directly to the agri-finance research I lead at Strathclyde.</w:t>
      </w:r>
    </w:p>
    <w:p>
      <w:pPr>
        <w:spacing w:after="160"/>
      </w:pPr>
      <w:r>
        <w:rPr>
          <w:b w:val="0"/>
        </w:rPr>
        <w:t>My preparation for investing has come from taking deals apart. As co-founder and Treasurer of the Strathclyde Agricapital Society, the university's first agri-finance society, I grew membership to 126 and led weekly research sessions on transactions such as Olam Agri's USD 1.24bn stake sale to SALIC, breaking down why the buyer wanted the asset, how the deal was structured and how the stake was valued. My strongest academic results reflect the same interest: 90% in first-year Finance and 78%, the second-highest mark, in a third-year group project for Advanced Corporate Finance and Financial Markets.</w:t>
      </w:r>
    </w:p>
    <w:p>
      <w:pPr>
        <w:spacing w:after="160"/>
      </w:pPr>
      <w:r>
        <w:rPr>
          <w:b w:val="0"/>
        </w:rPr>
        <w:t>Private equity appeals to me because the investor owns the outcome: the thesis has to be delivered after the deal closes, not just argued before it. I have seen that side at a small scale. As Head Mixologist at Le Set, a new 200-cover Glasgow venue, I created its house cocktails, set the specifications for its classics and trained around 15 bar staff to deliver them from launch. Before that, at KONG, I analysed sales patterns and refined our upselling prompts, raising average customer spend by an estimated 25%. Both roles taught me that value is created in execution: in standards, training and small commercial decisions that compound.</w:t>
      </w:r>
    </w:p>
    <w:p>
      <w:pPr>
        <w:spacing w:after="160"/>
      </w:pPr>
      <w:r>
        <w:rPr>
          <w:b w:val="0"/>
        </w:rPr>
        <w:t>BII's food and agriculture investing stands out to me because it treats financial return and development impact as one discipline: its $26.5 million commitment to AFEX backs a commodities platform running more than 200 warehouses across Nigeria, Kenya and Uganda, and in March 2026 it completed its first joint transaction with ILX to expand lending to East African agribusinesses. I co-founded the Agricapital Society because I believe agricultural markets are where finance can matter most, and a programme that rotates through both an investment team and the Impact group is exactly the training I want.</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