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Partners Group (UK) Ltd</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Portfolio &amp; Quant Analyst (new graduate level) role in London. I am a final-year Economics student at the University of Strathclyde, graduating in summer 2027 with a predicted 2:1. Partners Group's Portfolio Solutions team, whose bespoke mandates drove most of the firm's record $16 billion of new commitments in the first half of 2026, works on the question my research keeps returning to: how to build a portfolio whose risk is properly understood.</w:t>
      </w:r>
    </w:p>
    <w:p>
      <w:pPr>
        <w:spacing w:after="160"/>
      </w:pPr>
      <w:r>
        <w:rPr>
          <w:b w:val="0"/>
        </w:rPr>
        <w:t>My academic work centres on a question asset managers answer every day: what is a return worth once its risk is understood? I tested CAPM on 704 anomaly portfolios across 56 countries and found it fails jointly in 48 of 52, with momentum and value earning the most persistent alphas. My dissertation, supervised by Dr Luigi Gifuni, forecasts European gas volatility with mixed-frequency (MIDAS) models built on storage, market and news-based data, and tests whether better risk forecasts improve a volatility-targeted futures strategy, a question that matters to any portfolio with commodity exposure.</w:t>
      </w:r>
    </w:p>
    <w:p>
      <w:pPr>
        <w:spacing w:after="160"/>
      </w:pPr>
      <w:r>
        <w:rPr>
          <w:b w:val="0"/>
        </w:rPr>
        <w:t>Asset management appeals to me because it rewards a process that holds up over years rather than a single good call, and because the money belongs to people relying on that process. As co-founder of the Strathclyde Agricapital Society, which I grew to 126 members, I led weekly research sessions on transactions such as Olam Agri's USD 1.24bn stake sale to SALIC and published weekly research notes for members from outside finance. That work taught me that a sound view is only half the job; it also has to be explained clearly to the people who rely on it.</w:t>
      </w:r>
    </w:p>
    <w:p>
      <w:pPr>
        <w:spacing w:after="160"/>
      </w:pPr>
      <w:r>
        <w:rPr>
          <w:b w:val="0"/>
        </w:rPr>
        <w:t>Partners Group's Portfolio Solutions team stands out to me because it covers the whole chain from relative-value views to portfolio construction and monitoring across private markets, and bespoke solutions made up a clear majority of the firm's record fundraising in the first half of 2026. Private assets make risk harder to measure because their prices are observed infrequently, and my work forecasting volatility with mixed-frequency data, alongside testing CAPM across 704 portfolios, has given me a grounding in exactly the econometrics that problem needs.</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