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Rede Partners</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Analyst Programme in London. I am a final-year Economics student at the University of Strathclyde, graduating in summer 2027 with a predicted 2:1. Rede Partners' work raising capital for private equity managers, including THL's $6.35 billion Fund X, which closed in May 2026, would let me see private equity from the side of the investors who fund it.</w:t>
      </w:r>
    </w:p>
    <w:p>
      <w:pPr>
        <w:spacing w:after="160"/>
      </w:pPr>
      <w:r>
        <w:rPr>
          <w:b w:val="0"/>
        </w:rPr>
        <w:t>My preparation for investing has come from taking deals apart. As co-founder and Treasurer of the Strathclyde Agricapital Society, the university's first agri-finance society, I grew membership to 126 and led weekly research sessions on transactions such as Olam Agri's USD 1.24bn stake sale to SALIC, breaking down why the buyer wanted the asset, how the deal was structured and how the stake was valued. My strongest academic results reflect the same interest: 90% in first-year Finance and 78%, the second-highest mark, in a third-year group project for Advanced Corporate Finance and Financial Markets.</w:t>
      </w:r>
    </w:p>
    <w:p>
      <w:pPr>
        <w:spacing w:after="160"/>
      </w:pPr>
      <w:r>
        <w:rPr>
          <w:b w:val="0"/>
        </w:rPr>
        <w:t>Private equity appeals to me because the investor owns the outcome: the thesis has to be delivered after the deal closes, not just argued before it. I have seen that side at a small scale. As Head Mixologist at Le Set, a new 200-cover Glasgow venue, I created its house cocktails, set the specifications for its classics and trained around 15 bar staff to deliver them from launch. Before that, at KONG, I analysed sales patterns and refined our upselling prompts, raising average customer spend by an estimated 25%. Both roles taught me that value is created in execution: in standards, training and small commercial decisions that compound.</w:t>
      </w:r>
    </w:p>
    <w:p>
      <w:pPr>
        <w:spacing w:after="160"/>
      </w:pPr>
      <w:r>
        <w:rPr>
          <w:b w:val="0"/>
        </w:rPr>
        <w:t>Rede Partners stands out to me because it sits between private equity managers and the institutions that back them, with rotations across advisory, origination, credit and transactions; in 2026 it advised on fundraises including THL Fund X at $6.35 billion and Longship Fund IV, and its LP Pulse Check drew on conversations with 47 institutional investors about software exposure. The programme would let me apply what I practise each week with the Agricapital Society, turning research into a clear view for an audience, to the question every investor asks: why this manager, and why now.</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