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ICG</w:t>
      </w:r>
    </w:p>
    <w:p>
      <w:pPr>
        <w:spacing w:after="0"/>
      </w:pPr>
      <w:r>
        <w:rPr>
          <w:b w:val="0"/>
        </w:rPr>
        <w:t>Procession House, 55 Ludgate Hill</w:t>
      </w:r>
    </w:p>
    <w:p>
      <w:pPr>
        <w:spacing w:after="0"/>
      </w:pPr>
      <w:r>
        <w:rPr>
          <w:b w:val="0"/>
        </w:rPr>
        <w:t>London EC4M 7JW</w:t>
      </w:r>
    </w:p>
    <w:p>
      <w:pPr>
        <w:spacing w:after="0"/>
      </w:pPr>
      <w:r>
        <w:rPr>
          <w:b w:val="0"/>
        </w:rPr>
      </w:r>
    </w:p>
    <w:p>
      <w:pPr>
        <w:spacing w:after="160"/>
      </w:pPr>
      <w:r>
        <w:rPr>
          <w:b w:val="0"/>
        </w:rPr>
        <w:t>Dear Sir or Madam,</w:t>
      </w:r>
    </w:p>
    <w:p>
      <w:pPr>
        <w:spacing w:after="160"/>
      </w:pPr>
      <w:r>
        <w:rPr>
          <w:b w:val="0"/>
        </w:rPr>
        <w:t>I am applying for the 2027 Graduate Programme (Investment) in London. I am a final-year Economics student at the University of Strathclyde, graduating in summer 2027 with a predicted 2:1. ICG's final close of Europe Fund IX at €12 billion in September 2026, which it describes as the largest dedicated structured capital fund raised globally, shows the kind of flexible capital I want to learn to structure.</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ICG's structured capital strategy stands out to me because it sits between debt and equity, so every investment has to be designed around the needs of a company and its owners; Europe Fund IX closed in September 2026 at €12 billion, 50% larger than its predecessor, with 77% of existing investors committing again. Analysing how Olam Agri's stake sale to SALIC was structured taught me that the shape of a deal can matter as much as its price, and I would like to learn that discipline at a firm that has made it a speciality.</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