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Macquarie Group</w:t>
      </w:r>
    </w:p>
    <w:p>
      <w:pPr>
        <w:spacing w:after="0"/>
      </w:pPr>
      <w:r>
        <w:rPr>
          <w:b w:val="0"/>
        </w:rPr>
        <w:t>Ropemaker Place, 28 Ropemaker Street</w:t>
      </w:r>
    </w:p>
    <w:p>
      <w:pPr>
        <w:spacing w:after="0"/>
      </w:pPr>
      <w:r>
        <w:rPr>
          <w:b w:val="0"/>
        </w:rPr>
        <w:t>London EC2Y 9HD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2027 Commodities and Global Markets Graduate Programme in London, with a particular interest in commodities, particularly gas and power. I am a final-year Economics student at the University of Strathclyde, graduating in summer 2027 with a predicted 2:1. Macquarie's recognition as Natural Gas/LNG House of the Year at the 2026 Energy Risk Awards matters to me because European gas is the market my dissertation studies.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forecasts European gas (TTF) volatility with mixed-frequency (MIDAS) models built on daily storage, market and news-based data, including a gas-market attention index I am constructing from Google Trends, and tests whether better forecasts improve a volatility-targeted futures strategy.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seriously; my lifetime poker winnings of over £40,000 were built on disciplined bet sizing and a strict bankroll rule.</w:t>
      </w:r>
    </w:p>
    <w:p>
      <w:pPr>
        <w:spacing w:after="160"/>
      </w:pPr>
      <w:r>
        <w:rPr>
          <w:b w:val="0"/>
        </w:rPr>
        <w:t>Macquarie's Commodities and Global Markets business stands out to me because it combines physical and financial expertise in gas, from the long-term LNG offtake agreements it signed with Texas LNG and AMIGO LNG in 2025 to the risk-management solutions it offers clients, and it was named Natural Gas/LNG House of the Year at the 2026 Energy Risk Awards. My dissertation measures how storage and news drive TTF volatility, and I would like to learn how those same drivers shape the hedges and prices Macquarie offers its clients.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