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Will McGowan</w:t>
      </w:r>
    </w:p>
    <w:p>
      <w:pPr>
        <w:spacing w:after="0"/>
      </w:pPr>
      <w:r>
        <w:rPr>
          <w:b w:val="0"/>
        </w:rPr>
        <w:t>9 Clarendon Place, Glasgow G20 7PZ</w:t>
      </w:r>
    </w:p>
    <w:p>
      <w:pPr>
        <w:spacing w:after="0"/>
      </w:pPr>
      <w:r>
        <w:rPr>
          <w:b w:val="0"/>
        </w:rPr>
        <w:t>+44 7562 299 515 | mcgowanwill366@gmail.com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6 October 2026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Graduate Recruitment Team</w:t>
      </w:r>
    </w:p>
    <w:p>
      <w:pPr>
        <w:spacing w:after="0"/>
      </w:pPr>
      <w:r>
        <w:rPr>
          <w:b w:val="0"/>
        </w:rPr>
        <w:t>Citi</w:t>
      </w:r>
    </w:p>
    <w:p>
      <w:pPr>
        <w:spacing w:after="0"/>
      </w:pPr>
      <w:r>
        <w:rPr>
          <w:b w:val="0"/>
        </w:rPr>
        <w:t>Citigroup Centre, 25 Canada Square, Canary Wharf</w:t>
      </w:r>
    </w:p>
    <w:p>
      <w:pPr>
        <w:spacing w:after="0"/>
      </w:pPr>
      <w:r>
        <w:rPr>
          <w:b w:val="0"/>
        </w:rPr>
        <w:t>London E14 5LB</w:t>
      </w:r>
    </w:p>
    <w:p>
      <w:pPr>
        <w:spacing w:after="0"/>
      </w:pPr>
      <w:r>
        <w:rPr>
          <w:b w:val="0"/>
        </w:rPr>
      </w:r>
    </w:p>
    <w:p>
      <w:pPr>
        <w:spacing w:after="160"/>
      </w:pPr>
      <w:r>
        <w:rPr>
          <w:b w:val="0"/>
        </w:rPr>
        <w:t>Dear Sir or Madam,</w:t>
      </w:r>
    </w:p>
    <w:p>
      <w:pPr>
        <w:spacing w:after="160"/>
      </w:pPr>
      <w:r>
        <w:rPr>
          <w:b w:val="0"/>
        </w:rPr>
        <w:t>I am applying for the Markets – Sales and Trading, Full Time Analyst (2027) role in London, with a particular interest in commodities and macro. I am a final-year Economics student at the University of Strathclyde, graduating in summer 2027 with a predicted 2:1. Citi's Markets business grew fixed income revenue by 20% year on year in the second quarter of 2026, to $4.27 billion, which shows a franchise clients turn to when markets move.</w:t>
      </w:r>
    </w:p>
    <w:p>
      <w:pPr>
        <w:spacing w:after="160"/>
      </w:pPr>
      <w:r>
        <w:rPr>
          <w:b w:val="0"/>
        </w:rPr>
        <w:t>Much of my work centres on commodity markets. My dissertation, supervised by Dr Luigi Gifuni, forecasts European gas (TTF) volatility with mixed-frequency (MIDAS) models built on daily storage, market and news-based data, including a gas-market attention index I am constructing from Google Trends, and tests whether better forecasts improve a volatility-targeted futures strategy. As co-founder of the Strathclyde Agricapital Society, which I grew to 126 members, I built a wheat calendar-spread strategy in R from futures curve structure and CFTC Commitments of Traders positioning, and published weekly research notes for members.</w:t>
      </w:r>
    </w:p>
    <w:p>
      <w:pPr>
        <w:spacing w:after="160"/>
      </w:pPr>
      <w:r>
        <w:rPr>
          <w:b w:val="0"/>
        </w:rPr>
        <w:t>Sales and trading appeals to me because it joins analysis to a live price and to a client who needs a clear answer quickly. Writing those weekly notes taught me to turn analysis into a view that non-specialists can act on. In nearly two years at KONG, I learned that a recommendation lands only when it fits the person hearing it: by analysing sales patterns and refining our upselling prompts, I raised average customer spend by an estimated 25%. I also take risk seriously; my lifetime poker winnings of over £40,000 were built on disciplined bet sizing and a strict bankroll rule.</w:t>
      </w:r>
    </w:p>
    <w:p>
      <w:pPr>
        <w:spacing w:after="160"/>
      </w:pPr>
      <w:r>
        <w:rPr>
          <w:b w:val="0"/>
        </w:rPr>
        <w:t>Citi's Markets franchise stands out to me because its fixed income revenue rose 20% year on year in the second quarter of 2026 on strong client flows in rates and currencies, and because its full-time analyst programme lets analysts rotate within a product before settling on a desk. I would hope to rotate across commodities and macro, where my work on gas volatility and the wheat calendar spread has given me a grounding in how fundamentals, positioning and risk interact.</w:t>
      </w:r>
    </w:p>
    <w:p>
      <w:pPr>
        <w:spacing w:after="160"/>
      </w:pPr>
      <w:r>
        <w:rPr>
          <w:b w:val="0"/>
        </w:rPr>
        <w:t>I would welcome the opportunity to discuss my application. Thank you for your time and consideration.</w:t>
      </w:r>
    </w:p>
    <w:p>
      <w:pPr>
        <w:spacing w:after="0"/>
      </w:pPr>
      <w:r>
        <w:rPr>
          <w:b w:val="0"/>
        </w:rPr>
        <w:t>Yours faithfully,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Will McGowan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