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Goldman Sachs International</w:t>
      </w:r>
    </w:p>
    <w:p>
      <w:pPr>
        <w:spacing w:after="0"/>
      </w:pPr>
      <w:r>
        <w:rPr>
          <w:b w:val="0"/>
        </w:rPr>
        <w:t>Plumtree Court, 25 Shoe Lane</w:t>
      </w:r>
    </w:p>
    <w:p>
      <w:pPr>
        <w:spacing w:after="0"/>
      </w:pPr>
      <w:r>
        <w:rPr>
          <w:b w:val="0"/>
        </w:rPr>
        <w:t>London EC4A 4AU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2027 EMEA London FICC and Equities (Sales and Trading) New Analyst Programme in London, with a particular interest in commodities. I am a final-year Economics student at the University of Strathclyde, graduating in summer 2027 with a predicted 2:1. Goldman Sachs's FICC business grew revenue 32% year on year in the second quarter of 2026, with commodities among the businesses driving the increase, and that is the part of the trading floor I most want to join.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forecasts European gas (TTF) volatility with mixed-frequency (MIDAS) models built on daily storage, market and news-based data, including a gas-market attention index I am constructing from Google Trends, and tests whether better forecasts improve a volatility-targeted futures strategy.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seriously; my lifetime poker winnings of over £40,000 were built on disciplined bet sizing and a strict bankroll rule.</w:t>
      </w:r>
    </w:p>
    <w:p>
      <w:pPr>
        <w:spacing w:after="160"/>
      </w:pPr>
      <w:r>
        <w:rPr>
          <w:b w:val="0"/>
        </w:rPr>
        <w:t>Goldman Sachs's FICC franchise stands out to me because its scale across rates, currencies and commodities lets it keep making markets for clients through volatile periods; FICC net revenues reached $4.59 billion in the second quarter of 2026, up 32% on the year, on higher activity in interest rate products, commodities and mortgages. My dissertation and wheat spread strategy have taught me how quickly commodity risk can change, and I would like to learn how a desk manages that risk while still giving clients a price.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