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Capula Investment Management LLP</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Programme in London. I am a final-year Economics student at the University of Strathclyde, graduating in summer 2027 with a predicted 2:1. Capula's launch of a systematic commodities fund in 2026, its first major move beyond fixed income, overlaps directly with my own commodity research.</w:t>
      </w:r>
    </w:p>
    <w:p>
      <w:pPr>
        <w:spacing w:after="160"/>
      </w:pPr>
      <w:r>
        <w:rPr>
          <w:b w:val="0"/>
        </w:rPr>
        <w:t>My work keeps returning to one question: does an apparent edge survive a proper test? I tested CAPM on 704 anomaly portfolios across 56 countries and rejected zero alpha jointly in 48 of 52,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Capula stands out to me because it is extending a rigorous, quantitative approach from bonds and currencies into raw materials: its new Capula Alternative Markets Alpha Fund trades commodities algorithmically, with room for $2 billion to $3 billion of capital. My dissertation tests whether storage and news data improve forecasts of gas volatility, and whether better forecasts survive a realistic trading test, and I would like to learn how a firm with Capula's discipline turns that kind of research into risk across its trading functions.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