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Man Group</w:t>
      </w:r>
    </w:p>
    <w:p>
      <w:pPr>
        <w:spacing w:after="0"/>
      </w:pPr>
      <w:r>
        <w:rPr>
          <w:b w:val="0"/>
        </w:rPr>
        <w:t>Riverbank House, 2 Swan Lane</w:t>
      </w:r>
    </w:p>
    <w:p>
      <w:pPr>
        <w:spacing w:after="0"/>
      </w:pPr>
      <w:r>
        <w:rPr>
          <w:b w:val="0"/>
        </w:rPr>
        <w:t>London EC4R 3AD</w:t>
      </w:r>
    </w:p>
    <w:p>
      <w:pPr>
        <w:spacing w:after="0"/>
      </w:pPr>
      <w:r>
        <w:rPr>
          <w:b w:val="0"/>
        </w:rPr>
      </w:r>
    </w:p>
    <w:p>
      <w:pPr>
        <w:spacing w:after="160"/>
      </w:pPr>
      <w:r>
        <w:rPr>
          <w:b w:val="0"/>
        </w:rPr>
        <w:t>Dear Sir or Madam,</w:t>
      </w:r>
    </w:p>
    <w:p>
      <w:pPr>
        <w:spacing w:after="160"/>
      </w:pPr>
      <w:r>
        <w:rPr>
          <w:b w:val="0"/>
        </w:rPr>
        <w:t>I am applying for the Solutions Graduate Programme (2027 intake) in London. I am a final-year Economics student at the University of Strathclyde, graduating in summer 2027 with a predicted 2:1. Man Group's Solutions programme, which rotates graduates through portfolio management, quant and advisory teams, would let me apply my asset-pricing research to the portfolios clients actually hold.</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Man Group stands out to me because it runs systematic and discretionary investing on one platform, and clients have responded: assets under management reached a record $253.6 billion at the end of June 2026, with $7.1 billion of net inflows in the first half. The Solutions programme's mix of portfolio management, quant and advisory rotations fits how I like to work, from testing which factor premia survive across 56 countries to explaining the results to people who need to act on them.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