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Millennium Capital Management (UK)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Analyst – Trading (Global Fixed Income, Currency and Commodities team) role in London. I am a final-year Economics student at the University of Strathclyde, graduating in summer 2027 with a predicted 2:1. Millennium's commitment to commodities, where natural gas trading drove much of its gains in 2023 and 2024, matches the market I know best.</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Millennium stands out to me because its platform gives individual teams real responsibility for risk, and its commitment to commodities runs deep, from the natural gas trading behind much of its commodities profit in 2023 and 2024 to its $1.5 billion backing of the Echion Capital commodities spin-out. A graduate role that mixes trading, research and software development across fixed income, currency and commodity markets suits someone whose dissertation is on TTF gas and whose work runs on code.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