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Maven Securities</w:t>
      </w:r>
    </w:p>
    <w:p>
      <w:pPr>
        <w:spacing w:after="0"/>
      </w:pPr>
      <w:r>
        <w:rPr>
          <w:b w:val="0"/>
        </w:rPr>
        <w:t>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2027 in Amsterdam. I am a final-year Economics student at the University of Strathclyde, graduating in summer 2027 with a predicted 2:1. Maven's options market making, where it is consistently ranked among the top three liquidity providers on the exchanges it trades, is the business I want to learn.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rule, and I finished 14th at the Irish U19 Chess Championships in 2023.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Maven Securities stands out to me because it combines the reach of a top-three liquidity provider in listed options and futures with a size where a graduate's contribution is visible, and its programme begins with eleven weeks of structured training in London. Building my Monte Carlo pricer gave me a first-hand feel for how option values respond to volatility, and I would like to turn that understanding into quoting real markets.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