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Schroders</w:t>
      </w:r>
    </w:p>
    <w:p>
      <w:pPr>
        <w:spacing w:after="0"/>
      </w:pPr>
      <w:r>
        <w:rPr>
          <w:b w:val="0"/>
        </w:rPr>
        <w:t>1 London Wall Place</w:t>
      </w:r>
    </w:p>
    <w:p>
      <w:pPr>
        <w:spacing w:after="0"/>
      </w:pPr>
      <w:r>
        <w:rPr>
          <w:b w:val="0"/>
        </w:rPr>
        <w:t>London EC2Y 5AU</w:t>
      </w:r>
    </w:p>
    <w:p>
      <w:pPr>
        <w:spacing w:after="0"/>
      </w:pPr>
      <w:r>
        <w:rPr>
          <w:b w:val="0"/>
        </w:rPr>
      </w:r>
    </w:p>
    <w:p>
      <w:pPr>
        <w:spacing w:after="160"/>
      </w:pPr>
      <w:r>
        <w:rPr>
          <w:b w:val="0"/>
        </w:rPr>
        <w:t>Dear Sir or Madam,</w:t>
      </w:r>
    </w:p>
    <w:p>
      <w:pPr>
        <w:spacing w:after="160"/>
      </w:pPr>
      <w:r>
        <w:rPr>
          <w:b w:val="0"/>
        </w:rPr>
        <w:t>I am applying for the Wealth Management (Portfolio Management) Graduate Programme 2027 in London. I am a final-year Economics student at the University of Strathclyde, graduating in summer 2027 with a predicted 2:1. Cazenove Capital's £1.9 billion of net new business in the second quarter of 2026 shows a wealth franchise growing on the strength of the discretionary portfolio management this programme trains graduates to do.</w:t>
      </w:r>
    </w:p>
    <w:p>
      <w:pPr>
        <w:spacing w:after="160"/>
      </w:pPr>
      <w:r>
        <w:rPr>
          <w:b w:val="0"/>
        </w:rPr>
        <w:t>My academic work centres on a question asset managers answer every day: what is a return worth once its risk is understood? I tested CAPM on 704 anomaly portfolios across 56 countries and found it fails jointly in 48 of 52, with momentum and value earning the most persistent alphas. My dissertation, supervised by Dr Luigi Gifuni, forecasts European gas volatility with mixed-frequency (MIDAS) models built on storage, market and news-based data, and tests whether better risk forecasts improve a volatility-targeted futures strategy, a question that matters to any portfolio with commodity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Schroders Wealth Management stands out to me because it is investing in its future: Cazenove Capital generated £1.9 billion of net new business in the second quarter of 2026, it launched a Global Wealth Advisory service for ultra-high net worth clients in July, and it has significantly increased its graduate intake. Portfolio management for private clients and charities joins two things I care about, rigorous risk analysis and explaining it plainly, which I practise each week in research notes for Agricapital Society members.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