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Franklin Templeton</w:t>
      </w:r>
    </w:p>
    <w:p>
      <w:pPr>
        <w:spacing w:after="0"/>
      </w:pPr>
      <w:r>
        <w:rPr>
          <w:b w:val="0"/>
        </w:rPr>
        <w:t>Cannon Place, 78 Cannon Street</w:t>
      </w:r>
    </w:p>
    <w:p>
      <w:pPr>
        <w:spacing w:after="0"/>
      </w:pPr>
      <w:r>
        <w:rPr>
          <w:b w:val="0"/>
        </w:rPr>
        <w:t>London EC4N 6HL</w:t>
      </w:r>
    </w:p>
    <w:p>
      <w:pPr>
        <w:spacing w:after="0"/>
      </w:pPr>
      <w:r>
        <w:rPr>
          <w:b w:val="0"/>
        </w:rPr>
      </w:r>
    </w:p>
    <w:p>
      <w:pPr>
        <w:spacing w:after="160"/>
      </w:pPr>
      <w:r>
        <w:rPr>
          <w:b w:val="0"/>
        </w:rPr>
        <w:t>Dear Sir or Madam,</w:t>
      </w:r>
    </w:p>
    <w:p>
      <w:pPr>
        <w:spacing w:after="160"/>
      </w:pPr>
      <w:r>
        <w:rPr>
          <w:b w:val="0"/>
        </w:rPr>
        <w:t>I am applying for the Futures Rotational Graduate Program – Investment Management (2027) in London. I am a final-year Economics student at the University of Strathclyde, graduating in summer 2027 with a predicted 2:1. Franklin Templeton's Futures Program, which rotates graduates across investment teams that use data and digital tools alongside fundamental research, suits an economist whose research runs on code.</w:t>
      </w:r>
    </w:p>
    <w:p>
      <w:pPr>
        <w:spacing w:after="160"/>
      </w:pPr>
      <w:r>
        <w:rPr>
          <w:b w:val="0"/>
        </w:rPr>
        <w:t>My academic work centres on a question asset managers answer every day: what is a return worth once its risk is understood? I tested CAPM on 704 anomaly portfolios across 56 countries and found it fails jointly in 48 of 52, with momentum and value earning the most persistent alphas. My dissertation, supervised by Dr Luigi Gifuni, forecasts European gas volatility with mixed-frequency (MIDAS) models built on storage, market and news-based data, and tests whether better risk forecasts improve a volatility-targeted futures strategy, a question that matters to any portfolio with commodity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Franklin Templeton stands out to me because of its breadth across public and private markets and its continuing commitment to Scotland, where its Edinburgh office houses several portfolio management teams as the Martin Currie teams move under ClearBridge and Franklin Equity Group. A rotational programme would let me test where my strengths fit best, from the factor research behind my CAPM study to the risk forecasting in my dissertation.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