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Janus Henderson Investors</w:t>
      </w:r>
    </w:p>
    <w:p>
      <w:pPr>
        <w:spacing w:after="0"/>
      </w:pPr>
      <w:r>
        <w:rPr>
          <w:b w:val="0"/>
        </w:rPr>
        <w:t>201 Bishopsgate</w:t>
      </w:r>
    </w:p>
    <w:p>
      <w:pPr>
        <w:spacing w:after="0"/>
      </w:pPr>
      <w:r>
        <w:rPr>
          <w:b w:val="0"/>
        </w:rPr>
        <w:t>London EC2M 3AE</w:t>
      </w:r>
    </w:p>
    <w:p>
      <w:pPr>
        <w:spacing w:after="0"/>
      </w:pPr>
      <w:r>
        <w:rPr>
          <w:b w:val="0"/>
        </w:rPr>
      </w:r>
    </w:p>
    <w:p>
      <w:pPr>
        <w:spacing w:after="160"/>
      </w:pPr>
      <w:r>
        <w:rPr>
          <w:b w:val="0"/>
        </w:rPr>
        <w:t>Dear Sir or Madam,</w:t>
      </w:r>
    </w:p>
    <w:p>
      <w:pPr>
        <w:spacing w:after="160"/>
      </w:pPr>
      <w:r>
        <w:rPr>
          <w:b w:val="0"/>
        </w:rPr>
        <w:t>I am applying for the Research Associate – Investment Graduate Programme 2027 in London, with a particular interest in energy and industrials coverage. I am a final-year Economics student at the University of Strathclyde, graduating in summer 2027 with a predicted 2:1. Janus Henderson's two-year immersion in its equities team, built on research that combines quantitative financial analysis with qualitative judgement, is the training I want.</w:t>
      </w:r>
    </w:p>
    <w:p>
      <w:pPr>
        <w:spacing w:after="160"/>
      </w:pPr>
      <w:r>
        <w:rPr>
          <w:b w:val="0"/>
        </w:rPr>
        <w:t>Equity research rewards a view that is stated plainly and tested honestly, and that is how I try to work. My dissertation, supervised by Dr Luigi Gifuni, asks whether news improves forecasts of European gas volatility: I am building mixed-frequency (MIDAS) models from daily storage, market and news-based data, testing them out-of-sample against established benchmarks and asking whether better forecasts carry economic value. I also tested CAPM on 704 anomaly portfolios across 56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Janus Henderson stands out to me because it is moving into private ownership under Trian and General Catalyst after regulators approved the deal in June 2026, keeping its management team and London headquarters and giving its equity teams room to think long term. The programme's blend of quantitative financial analysis and qualitative research matches how I work: my CAPM study tested 704 portfolios statistically, but explaining deals such as Olam Agri's stake sale to SALIC taught me that numbers only matter once you understand the business behind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