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Oxford Economics</w:t>
      </w:r>
    </w:p>
    <w:p>
      <w:pPr>
        <w:spacing w:after="0"/>
      </w:pPr>
      <w:r>
        <w:rPr>
          <w:b w:val="0"/>
        </w:rPr>
        <w:t>4 Millbank</w:t>
      </w:r>
    </w:p>
    <w:p>
      <w:pPr>
        <w:spacing w:after="0"/>
      </w:pPr>
      <w:r>
        <w:rPr>
          <w:b w:val="0"/>
        </w:rPr>
        <w:t>London SW1P 3JA</w:t>
      </w:r>
    </w:p>
    <w:p>
      <w:pPr>
        <w:spacing w:after="0"/>
      </w:pPr>
      <w:r>
        <w:rPr>
          <w:b w:val="0"/>
        </w:rPr>
      </w:r>
    </w:p>
    <w:p>
      <w:pPr>
        <w:spacing w:after="160"/>
      </w:pPr>
      <w:r>
        <w:rPr>
          <w:b w:val="0"/>
        </w:rPr>
        <w:t>Dear Sir or Madam,</w:t>
      </w:r>
    </w:p>
    <w:p>
      <w:pPr>
        <w:spacing w:after="160"/>
      </w:pPr>
      <w:r>
        <w:rPr>
          <w:b w:val="0"/>
        </w:rPr>
        <w:t>I am applying for the 2027 UK Graduate Programme in Belfast or London. I am a final-year Economics student at the University of Strathclyde, graduating in summer 2027 with a predicted 2:1. Oxford Economics' Global Economic Model, which links 80 countries and is relied on by more than 200 organisations, is the most ambitious version of the empirical modelling I have come to enjoy.</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Oxford Economics stands out to me because its forecasts rest on a globally integrated model and are willing to differ from the consensus; in April 2026 its global macro team put world growth at 2.9% against the IMF's 3.1% and expected Brent crude to average $90 a barrel, around $10 above the IMF's implied assumption. Energy prices are central to my dissertation, and two years of six-month rotations, with the option of a Belfast base where I grew up, make this an unusually strong fit.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