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FTI Consulting</w:t>
      </w:r>
    </w:p>
    <w:p>
      <w:pPr>
        <w:spacing w:after="0"/>
      </w:pPr>
      <w:r>
        <w:rPr>
          <w:b w:val="0"/>
        </w:rPr>
        <w:t>200 Aldersgate, Aldersgate Street</w:t>
      </w:r>
    </w:p>
    <w:p>
      <w:pPr>
        <w:spacing w:after="0"/>
      </w:pPr>
      <w:r>
        <w:rPr>
          <w:b w:val="0"/>
        </w:rPr>
        <w:t>London EC1A 4HD</w:t>
      </w:r>
    </w:p>
    <w:p>
      <w:pPr>
        <w:spacing w:after="0"/>
      </w:pPr>
      <w:r>
        <w:rPr>
          <w:b w:val="0"/>
        </w:rPr>
      </w:r>
    </w:p>
    <w:p>
      <w:pPr>
        <w:spacing w:after="160"/>
      </w:pPr>
      <w:r>
        <w:rPr>
          <w:b w:val="0"/>
        </w:rPr>
        <w:t>Dear Sir or Madam,</w:t>
      </w:r>
    </w:p>
    <w:p>
      <w:pPr>
        <w:spacing w:after="160"/>
      </w:pPr>
      <w:r>
        <w:rPr>
          <w:b w:val="0"/>
        </w:rPr>
        <w:t>I am applying for the 2027 Graduate Scheme – Economic &amp; Financial Consulting in London. I am a final-year Economics student at the University of Strathclyde, graduating in summer 2027 with a predicted 2:1. FTI Consulting's investment in energy expertise within Economic and Financial Consulting, including the appointment of energy economist Emmanuel Fages in July 2026, matches the energy-market research I am doing.</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FTI Consulting's Economic and Financial Consulting practice stands out to me because its analysis has to survive scrutiny from opposing experts, tribunals and regulators, and because it is building out its energy advice, appointing Emmanuel Fages, an energy economist with more than 30 years' experience across utilities and financial energy markets, in July 2026. Testing my gas volatility models against benchmarks with formal statistical tests has taught me to build analysis that can be defended line by line.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