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Baringa</w:t>
      </w:r>
    </w:p>
    <w:p>
      <w:pPr>
        <w:spacing w:after="0"/>
      </w:pPr>
      <w:r>
        <w:rPr>
          <w:b w:val="0"/>
        </w:rPr>
        <w:t>62 Buckingham Gate</w:t>
      </w:r>
    </w:p>
    <w:p>
      <w:pPr>
        <w:spacing w:after="0"/>
      </w:pPr>
      <w:r>
        <w:rPr>
          <w:b w:val="0"/>
        </w:rPr>
        <w:t>London SW1E 6AJ</w:t>
      </w:r>
    </w:p>
    <w:p>
      <w:pPr>
        <w:spacing w:after="0"/>
      </w:pPr>
      <w:r>
        <w:rPr>
          <w:b w:val="0"/>
        </w:rPr>
      </w:r>
    </w:p>
    <w:p>
      <w:pPr>
        <w:spacing w:after="160"/>
      </w:pPr>
      <w:r>
        <w:rPr>
          <w:b w:val="0"/>
        </w:rPr>
        <w:t>Dear Sir or Madam,</w:t>
      </w:r>
    </w:p>
    <w:p>
      <w:pPr>
        <w:spacing w:after="160"/>
      </w:pPr>
      <w:r>
        <w:rPr>
          <w:b w:val="0"/>
        </w:rPr>
        <w:t>I am applying for the Graduate Analyst Programme – Energy &amp; Resources in London. I am a final-year Economics student at the University of Strathclyde, graduating in summer 2027 with a predicted 2:1. Baringa's energy market work, including the Future of Gas report it prepared for Ireland's Commission for Regulation of Utilities in 2026, connects directly to my dissertation on European gas.</w:t>
      </w:r>
    </w:p>
    <w:p>
      <w:pPr>
        <w:spacing w:after="160"/>
      </w:pPr>
      <w:r>
        <w:rPr>
          <w:b w:val="0"/>
        </w:rPr>
        <w:t>The work I am proudest of follows a consulting arc: diagnose with data, recommend a change, then make it happen. At KONG, I analysed sales patterns and used them to refine our upselling prompts, raising average customer spend by an estimated 25%. As Head Mixologist at Le Set, a new 200-cover restaurant and cocktail lounge in Glasgow, I created the house cocktails and set the specifications for its classics from launch, wrote the batch specifications the team works to, and trained around 15 bar staff, several new to cocktail bartending, to deliver them consistently.</w:t>
      </w:r>
    </w:p>
    <w:p>
      <w:pPr>
        <w:spacing w:after="160"/>
      </w:pPr>
      <w:r>
        <w:rPr>
          <w:b w:val="0"/>
        </w:rPr>
        <w:t>Consulting appeals to me for the range of problems and the standard of thinking it demands: a recommendation has to be structured, evidenced and clear enough for a client to act on. My dissertation applies the same discipline to a broad question, whether news improves forecasts of European gas volatility, by breaking it into testable parts using mixed-frequency (MIDAS) models and out-of-sample comparisons against benchmarks. In co-founding the Strathclyde Agricapital Society, I built an organisation from launch to 126 members and led weekly sessions on transactions such as Olam Agri's USD 1.24bn stake sale to SALIC.</w:t>
      </w:r>
    </w:p>
    <w:p>
      <w:pPr>
        <w:spacing w:after="160"/>
      </w:pPr>
      <w:r>
        <w:rPr>
          <w:b w:val="0"/>
        </w:rPr>
        <w:t>Baringa's Energy and Resources practice stands out to me because it combines strategy advice with deep market modelling, and its Future of Gas work for Ireland's energy regulator shows it shaping the questions that will define how Europe's gas system is run. My dissertation models how storage, market data and news drive TTF volatility, and I would like to help clients turn that kind of analysis into decisions on investment and risk.</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