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Capital Economics</w:t>
      </w:r>
    </w:p>
    <w:p>
      <w:pPr>
        <w:spacing w:after="0"/>
      </w:pPr>
      <w:r>
        <w:rPr>
          <w:b w:val="0"/>
        </w:rPr>
        <w:t>Leconfield House, Curzon Street</w:t>
      </w:r>
    </w:p>
    <w:p>
      <w:pPr>
        <w:spacing w:after="0"/>
      </w:pPr>
      <w:r>
        <w:rPr>
          <w:b w:val="0"/>
        </w:rPr>
        <w:t>London W1J 5JA</w:t>
      </w:r>
    </w:p>
    <w:p>
      <w:pPr>
        <w:spacing w:after="0"/>
      </w:pPr>
      <w:r>
        <w:rPr>
          <w:b w:val="0"/>
        </w:rPr>
      </w:r>
    </w:p>
    <w:p>
      <w:pPr>
        <w:spacing w:after="160"/>
      </w:pPr>
      <w:r>
        <w:rPr>
          <w:b w:val="0"/>
        </w:rPr>
        <w:t>Dear Sir or Madam,</w:t>
      </w:r>
    </w:p>
    <w:p>
      <w:pPr>
        <w:spacing w:after="160"/>
      </w:pPr>
      <w:r>
        <w:rPr>
          <w:b w:val="0"/>
        </w:rPr>
        <w:t>I am applying for the Graduate Economist Scheme (September 2027) in London. I am a final-year Economics student at the University of Strathclyde, graduating in summer 2027 with a predicted 2:1. Capital Economics' recognition by FocusEconomics as the world's most accurate commodities forecaster speaks to the forecasting discipline my dissertation is built around.</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news improves forecasts of European gas volatility, by breaking it into testable parts using mixed-frequency (MIDAS) models and out-of-sample comparisons against benchmarks. In co-founding the Strathclyde Agricapital Society, I built an organisation from launch to 126 members and led weekly sessions on transactions such as Olam Agri's USD 1.24bn stake sale to SALIC.</w:t>
      </w:r>
    </w:p>
    <w:p>
      <w:pPr>
        <w:spacing w:after="160"/>
      </w:pPr>
      <w:r>
        <w:rPr>
          <w:b w:val="0"/>
        </w:rPr>
        <w:t>Capital Economics stands out to me because its independence lets it publish clear, testable calls, and its record can be checked: FocusEconomics named it the most accurate forecaster of commodity prices, including WTI crude oil and liquefied natural gas. Forecasting gas volatility out-of-sample has taught me how humbling a forecast record can be, and a two-year trainee scheme with rotations across four teams and support for postgraduate study is exactly the applied macroeconomics training I want.</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