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Peel Hunt</w:t>
      </w:r>
    </w:p>
    <w:p>
      <w:pPr>
        <w:spacing w:after="0"/>
      </w:pPr>
      <w:r>
        <w:rPr>
          <w:b w:val="0"/>
        </w:rPr>
        <w:t>100 Liverpool Street</w:t>
      </w:r>
    </w:p>
    <w:p>
      <w:pPr>
        <w:spacing w:after="0"/>
      </w:pPr>
      <w:r>
        <w:rPr>
          <w:b w:val="0"/>
        </w:rPr>
        <w:t>London EC2M 2AT</w:t>
      </w:r>
    </w:p>
    <w:p>
      <w:pPr>
        <w:spacing w:after="0"/>
      </w:pPr>
      <w:r>
        <w:rPr>
          <w:b w:val="0"/>
        </w:rPr>
      </w:r>
    </w:p>
    <w:p>
      <w:pPr>
        <w:spacing w:after="160"/>
      </w:pPr>
      <w:r>
        <w:rPr>
          <w:b w:val="0"/>
        </w:rPr>
        <w:t>Dear Sir or Madam,</w:t>
      </w:r>
    </w:p>
    <w:p>
      <w:pPr>
        <w:spacing w:after="160"/>
      </w:pPr>
      <w:r>
        <w:rPr>
          <w:b w:val="0"/>
        </w:rPr>
        <w:t>I am applying for the Investment Banking Graduate Programme in London. I am a final-year Economics student at the University of Strathclyde, graduating in summer 2027 with a predicted 2:1. Peel Hunt's best-ever investment banking revenue in the year to March 2026 shows a UK mid-cap franchise that is growing, and a twelve-month graduate programme built to make new analysts useful quickly.</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Peel Hunt stands out to me because it combines corporate advice with broking and distribution, so its bankers see a transaction from the company's side and the investor's side at once; its recent mandates range from IQE's £81 million fundraising to acting as lead financial adviser to Treatt. Mid-cap transactions are where a graduate can see every stage of a deal, and I would like to bring the accuracy under deadline I built at KONG and Le Set to a team of Peel Hunt's size.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