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Goodbody</w:t>
      </w:r>
    </w:p>
    <w:p>
      <w:pPr>
        <w:spacing w:after="0"/>
      </w:pPr>
      <w:r>
        <w:rPr>
          <w:b w:val="0"/>
        </w:rPr>
        <w:t>2 Ballsbridge Park, Ballsbridge</w:t>
      </w:r>
    </w:p>
    <w:p>
      <w:pPr>
        <w:spacing w:after="0"/>
      </w:pPr>
      <w:r>
        <w:rPr>
          <w:b w:val="0"/>
        </w:rPr>
        <w:t>Dublin 4, Ireland</w:t>
      </w:r>
    </w:p>
    <w:p>
      <w:pPr>
        <w:spacing w:after="0"/>
      </w:pPr>
      <w:r>
        <w:rPr>
          <w:b w:val="0"/>
        </w:rPr>
      </w:r>
    </w:p>
    <w:p>
      <w:pPr>
        <w:spacing w:after="160"/>
      </w:pPr>
      <w:r>
        <w:rPr>
          <w:b w:val="0"/>
        </w:rPr>
        <w:t>Dear Sir or Madam,</w:t>
      </w:r>
    </w:p>
    <w:p>
      <w:pPr>
        <w:spacing w:after="160"/>
      </w:pPr>
      <w:r>
        <w:rPr>
          <w:b w:val="0"/>
        </w:rPr>
        <w:t>I am applying for the Graduate Programme 2027–2029 (Investment Banking) in Dublin. I am a final-year Economics student at the University of Strathclyde, graduating in summer 2027 with a predicted 2:1. Goodbody's role as sole financial adviser to the Pandox and Eiendomsspar consortium on its €1.4 billion offer for Dalata Hotel Group shows an Irish firm leading public-market deals of real scale.</w:t>
      </w:r>
    </w:p>
    <w:p>
      <w:pPr>
        <w:spacing w:after="160"/>
      </w:pPr>
      <w:r>
        <w:rPr>
          <w:b w:val="0"/>
        </w:rPr>
        <w:t>My clearest preparation for banking has been taking transactions apart. As co-founder and Treasurer of the Strathclyde Agricapital Society, the university's first agri-finance society, I grew membership to 126 and led weekly research sessions on deals such as Olam Agri's USD 1.24bn stake sale to SALIC, explaining the strategic rationale, the deal structure and the valuation to members, including many from outside finance. My strongest academic results are in the same territory: 90% in first-year Finance and 78%, the second-highest mark, in a third-year group project for Advanced Corporate Finance and Financial Markets.</w:t>
      </w:r>
    </w:p>
    <w:p>
      <w:pPr>
        <w:spacing w:after="160"/>
      </w:pPr>
      <w:r>
        <w:rPr>
          <w:b w:val="0"/>
        </w:rPr>
        <w:t>Investment banking appeals to me because every transaction is a chain of judgements about who should buy, why now and at what price, and each one has to survive scrutiny from clients and counterparties. The analyst's part in that chain is accuracy under deadline, a habit I have built outside the classroom. For nearly two years at KONG, I reconciled end-of-shift cash and card takings while studying full-time. I now run the drinks programme as Head Mixologist at Le Set, a new 200-cover Glasgow venue, where I wrote the batch specifications and trained around 15 bar staff to standards that have to hold when someone else executes them.</w:t>
      </w:r>
    </w:p>
    <w:p>
      <w:pPr>
        <w:spacing w:after="160"/>
      </w:pPr>
      <w:r>
        <w:rPr>
          <w:b w:val="0"/>
        </w:rPr>
        <w:t>Goodbody stands out to me because, as part of AIB, it combines a leading Irish corporate advisory practice with research, wealth and asset management, and its graduate programme spans all three; it was also a joint lead manager on Ireland's €5 billion ten-year benchmark bond maturing in 2036. Having grown up in Belfast, I would be glad to build my career on the island of Ireland and to bring the transaction analysis I lead with the Agricapital Society to deals that shape Irish companies.</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