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LGT Capital Partners</w:t>
      </w:r>
    </w:p>
    <w:p>
      <w:pPr>
        <w:spacing w:after="0"/>
      </w:pPr>
      <w:r>
        <w:rPr>
          <w:b w:val="0"/>
        </w:rPr>
        <w:t>Schützenstrasse 6</w:t>
      </w:r>
    </w:p>
    <w:p>
      <w:pPr>
        <w:spacing w:after="0"/>
      </w:pPr>
      <w:r>
        <w:rPr>
          <w:b w:val="0"/>
        </w:rPr>
        <w:t>8808 Pfäffikon SZ, Switzerland</w:t>
      </w:r>
    </w:p>
    <w:p>
      <w:pPr>
        <w:spacing w:after="0"/>
      </w:pPr>
      <w:r>
        <w:rPr>
          <w:b w:val="0"/>
        </w:rPr>
      </w:r>
    </w:p>
    <w:p>
      <w:pPr>
        <w:spacing w:after="160"/>
      </w:pPr>
      <w:r>
        <w:rPr>
          <w:b w:val="0"/>
        </w:rPr>
        <w:t>Dear Sir or Madam,</w:t>
      </w:r>
    </w:p>
    <w:p>
      <w:pPr>
        <w:spacing w:after="160"/>
      </w:pPr>
      <w:r>
        <w:rPr>
          <w:b w:val="0"/>
        </w:rPr>
        <w:t>I am applying for the Private Equity Analyst Program in Pfäffikon or London. I am a final-year Economics student at the University of Strathclyde, graduating in summer 2027 with a predicted 2:1. LGT Capital Partners' secondaries team closed more than $1.5 billion of transactions in the first half of 2026, acquiring stakes in over 1,400 underlying companies, which is the kind of portfolio-level analysis I want to learn.</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LGT Capital Partners stands out to me because its two-year analyst programme gives graduates real responsibility across secondaries, co-investments and direct investments within a firm managing more than $110 billion, starting with three weeks of tailored training. Valuing a secondary stake means judging hundreds of underlying companies at once, and my CAPM study of 704 portfolios has taught me to work systematically across large, messy datasets without losing sight of what drives each return.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