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Dynamics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Clean Energy role in London. I am a final-year Economics student at the University of Strathclyde, graduating in summer 2027 with a predicted 2:1. Capital Dynamics' £100 million joint venture with Solo Renewables for long-duration energy storage in Northern Ireland caught my attention as someone from Belfast who studies volatility in European energy markets.</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Capital Dynamics stands out to me because its clean energy team invests directly in the assets the energy transition needs, from two UK solar projects of at least 121 MWp acquired in December 2025 with Contracts for Difference to a 170 MW, four-hour battery project in the Republic of Ireland. My dissertation models how storage levels and news move gas price volatility, and I would like to apply that thinking to the revenue risks of solar and storage assets at a firm of around 150 professionals where an analyst's work is visible.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