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Maven Capital Partners</w:t>
      </w:r>
    </w:p>
    <w:p>
      <w:pPr>
        <w:spacing w:after="0"/>
      </w:pPr>
      <w:r>
        <w:rPr>
          <w:b w:val="0"/>
        </w:rPr>
        <w:t>Glasgow</w:t>
      </w:r>
    </w:p>
    <w:p>
      <w:pPr>
        <w:spacing w:after="0"/>
      </w:pPr>
      <w:r>
        <w:rPr>
          <w:b w:val="0"/>
        </w:rPr>
      </w:r>
    </w:p>
    <w:p>
      <w:pPr>
        <w:spacing w:after="160"/>
      </w:pPr>
      <w:r>
        <w:rPr>
          <w:b w:val="0"/>
        </w:rPr>
        <w:t>Dear Sir or Madam,</w:t>
      </w:r>
    </w:p>
    <w:p>
      <w:pPr>
        <w:spacing w:after="160"/>
      </w:pPr>
      <w:r>
        <w:rPr>
          <w:b w:val="0"/>
        </w:rPr>
        <w:t>I am writing to ask to be considered for a graduate investment analyst role in Glasgow. I am a final-year Economics student at the University of Strathclyde, graduating in summer 2027 with a predicted 2:1. Maven's position as one of the most active private equity investors in UK SMEs, with offices in Glasgow and Edinburgh and a Scottish investment team of twelve, makes it the firm I would most like to learn from without leaving Scotland.</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Maven stands out to me because it backs growing businesses across Scotland and the UK through a range of funds, with 2026 investments including Xentra, Texture Jet, Esk Live, Third Space Learning and Kani Payments. I know from building the Agricapital Society how much a small team relies on people who will take on research and analysis without being asked twice, and I would be glad to support your deal team from Glasgow in any graduate or analyst capacity.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