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BGF Scotland</w:t>
      </w:r>
    </w:p>
    <w:p>
      <w:pPr>
        <w:spacing w:after="0"/>
      </w:pPr>
      <w:r>
        <w:rPr>
          <w:b w:val="0"/>
        </w:rPr>
        <w:t>Edinburgh</w:t>
      </w:r>
    </w:p>
    <w:p>
      <w:pPr>
        <w:spacing w:after="0"/>
      </w:pPr>
      <w:r>
        <w:rPr>
          <w:b w:val="0"/>
        </w:rPr>
      </w:r>
    </w:p>
    <w:p>
      <w:pPr>
        <w:spacing w:after="160"/>
      </w:pPr>
      <w:r>
        <w:rPr>
          <w:b w:val="0"/>
        </w:rPr>
        <w:t>Dear Sir or Madam,</w:t>
      </w:r>
    </w:p>
    <w:p>
      <w:pPr>
        <w:spacing w:after="160"/>
      </w:pPr>
      <w:r>
        <w:rPr>
          <w:b w:val="0"/>
        </w:rPr>
        <w:t>I am writing to ask to be considered for a graduate investment analyst role in Edinburgh or Glasgow. I am a final-year Economics student at the University of Strathclyde, graduating in summer 2027 with a predicted 2:1. BGF's pledge to invest a further £200 million in Scottish businesses over the next five years, after being named in 2026 the most active investor in the UK's fastest-growing private equity-backed companies, makes its Scottish team one of the busiest growth investors near me.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BGF stands out to me because it takes minority stakes and works alongside founders rather than replacing them, an approach behind recent Scottish outcomes such as its exits from Entier and Optima Partners and a £15 million investment in Cruden Homes. Studying why investors back particular management teams has shown me how much of growth investing is judgement about people and execution, and I would be glad to support your Scottish team as an analyst.</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