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SSE plc</w:t>
      </w:r>
    </w:p>
    <w:p>
      <w:pPr>
        <w:spacing w:after="0"/>
      </w:pPr>
      <w:r>
        <w:rPr>
          <w:b w:val="0"/>
        </w:rPr>
        <w:t>Inveralmond House, 200 Dunkeld Road</w:t>
      </w:r>
    </w:p>
    <w:p>
      <w:pPr>
        <w:spacing w:after="0"/>
      </w:pPr>
      <w:r>
        <w:rPr>
          <w:b w:val="0"/>
        </w:rPr>
        <w:t>Perth PH1 3AQ</w:t>
      </w:r>
    </w:p>
    <w:p>
      <w:pPr>
        <w:spacing w:after="0"/>
      </w:pPr>
      <w:r>
        <w:rPr>
          <w:b w:val="0"/>
        </w:rPr>
      </w:r>
    </w:p>
    <w:p>
      <w:pPr>
        <w:spacing w:after="160"/>
      </w:pPr>
      <w:r>
        <w:rPr>
          <w:b w:val="0"/>
        </w:rPr>
        <w:t>Dear Sir or Madam,</w:t>
      </w:r>
    </w:p>
    <w:p>
      <w:pPr>
        <w:spacing w:after="160"/>
      </w:pPr>
      <w:r>
        <w:rPr>
          <w:b w:val="0"/>
        </w:rPr>
        <w:t>I am applying for the Energy Markets Graduate Programme 2027 in Edinburgh or Perth, with a particular interest in trading and asset optimisation. I am a final-year Economics student at the University of Strathclyde, graduating in summer 2027 with a predicted 2:1. SSE Energy Markets trades SSE's generation in the wholesale markets, including the 150 MW Ferrybridge battery that entered full operation in March 2026, which is exactly where my research on energy price volatility becomes practical.</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SSE Energy Markets stands out to me because it optimises a portfolio that is changing fast, from the Ferrybridge battery to the 170 MW Platin power station in Ireland, where construction began in June 2026, and its graduate placements span trading and asset optimisation, market analysis and energy economics, and weather and forecasting. Forecasting gas volatility has taught me how quickly fundamentals reach prices, and I would like to see those signals turn into dispatch, hedging and trading decisions on a desk in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