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Engelhart Commodities Trading Partners</w:t>
      </w:r>
    </w:p>
    <w:p>
      <w:pPr>
        <w:spacing w:after="0"/>
      </w:pPr>
      <w:r>
        <w:rPr>
          <w:b w:val="0"/>
        </w:rPr>
        <w:t>London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Commodity Trading Analytics Internship Program in London, with a particular interest in energy and agricultural commodities. I am a final-year Economics student at the University of Strathclyde, graduating in summer 2027 with a predicted 2:1. Engelhart's agreement to acquire the energy trader Trailstone, adding to a commodity trading business of around 180 professionals, makes it one of the most interesting energy trading firms in London to join now.</w:t>
      </w:r>
    </w:p>
    <w:p>
      <w:pPr>
        <w:spacing w:after="160"/>
      </w:pPr>
      <w:r>
        <w:rPr>
          <w:b w:val="0"/>
        </w:rPr>
        <w:t>Much of my work centres on commodity markets. My dissertation, supervised by Dr Luigi Gifuni, forecasts European gas (TTF) volatility with mixed-frequency (MIDAS) models built on daily storage, market and news-based data, including a gas-market attention index I am constructing from Google Trends, and tests whether better forecasts improve a volatility-targeted futures strategy. As co-founder of the Strathclyde Agricapital Society, which I grew to 126 members, I built a wheat calendar-spread strategy in R from futures curve structure and CFTC Commitments of Traders positioning, and published weekly research notes for members.</w:t>
      </w:r>
    </w:p>
    <w:p>
      <w:pPr>
        <w:spacing w:after="160"/>
      </w:pPr>
      <w:r>
        <w:rPr>
          <w:b w:val="0"/>
        </w:rPr>
        <w:t>Sales and trading appeals to me because it joins analysis to a live price and to a client who needs a clear answer quickly. Writing those weekly notes taught me to turn analysis into a view that non-specialists can act on. In nearly two years at KONG, I learned that a recommendation lands only when it fits the person hearing it: by analysing sales patterns and refining our upselling prompts, I raised average customer spend by an estimated 25%. I also take risk seriously; my lifetime poker winnings of over £40,000 were built on disciplined bet sizing and a strict bankroll rule.</w:t>
      </w:r>
    </w:p>
    <w:p>
      <w:pPr>
        <w:spacing w:after="160"/>
      </w:pPr>
      <w:r>
        <w:rPr>
          <w:b w:val="0"/>
        </w:rPr>
        <w:t>Engelhart stands out to me because its analytics internship places interns with London front-office teams where commodity markets, data and trading meet, across energy, agriculture, metals and freight. My work sits at that intersection, a gas volatility dissertation built on daily storage and market data and a wheat spread strategy in R, and a six-month placement starting in June 2027 would let me move straight from graduation into that work.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