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704 anomaly portfolios across 56 countries and rejected zero alpha jointly in 48 of 52, with momentum the most persistent anomaly. My dissertation, supervised by Dr Luigi Gifuni, forecasts European gas volatility with mixed-frequency (MIDAS) models built on storage, market and news-based data, evaluates them out-of-sample against HAR and AR benchmarks, and asks whether better forecasts improve a volatility-targeted TTF futures strategy.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