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Kiltearn Partners LLP</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junior investment analyst role in Edinburgh. I am a final-year Economics student at the University of Strathclyde, graduating in summer 2027 with a predicted 2:1. Kiltearn's single global equity programme, run since 2011 with a disciplined value philosophy, is the kind of concentrated, research-led investing I would most like to learn, and it is run from Edinburgh.</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Kiltearn stands out to me because it screens world equity markets on valuation and then does deep fundamental work on a focused set of holdings, an approach my own research supports: across 56 countries, value was among the most persistent anomalies once tested properly. I would be glad to be considered for any junior analyst opening and to bring my econometrics and my habit of writing research up clearly to a small Edinburgh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