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Mako</w:t>
      </w:r>
    </w:p>
    <w:p>
      <w:pPr>
        <w:spacing w:after="0"/>
      </w:pPr>
      <w:r>
        <w:rPr>
          <w:b w:val="0"/>
        </w:rPr>
        <w:t>London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in London. I am a final-year Economics student at the University of Strathclyde, graduating in summer 2027 with a predicted 2:1. Mako's options market making across fixed income, equity and commodity derivatives, which it has run since 1999, is the business I want to learn from the ground up.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rule, and I finished 14th at the Irish U19 Chess Championships in 2023.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Mako stands out to me because its eighteen-month graduate programme builds option theory, risk processes and live market-making experience step by step, at a firm small enough that a graduate's progress is visible. My Monte Carlo engine taught me how option values respond to volatility and to the path a price takes, and I would like to turn that understanding into quoting real markets within Mako's risk framework.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