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Old Mission</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Quantitative Trader – 2027 Graduate Program (August Start) in London. I am a final-year Economics student at the University of Strathclyde, graduating in summer 2027 with a predicted 2:1. Old Mission's focus on the hardest-to-price ETFs and investment-grade credit, where competitors often step back, appeals to me because pricing what others find difficult is where I most enjoy working.</w:t>
      </w:r>
    </w:p>
    <w:p>
      <w:pPr>
        <w:spacing w:after="160"/>
      </w:pPr>
      <w:r>
        <w:rPr>
          <w:b w:val="0"/>
        </w:rPr>
        <w:t>Most of what I am proudest of comes down to good decisions made with incomplete information. My lifetime poker cash-game winnings of over £40,000 came from expected-value reasoning, disciplined bet sizing and a strict 50-buy-in bankroll rule, and I finished 14th at the Irish U19 Chess Championships in 2023. As Vice-President and then President of the Strathclyde Poker Society, I ran weekly tournaments for around 60 players on a £600-per-semester budget, reconciling every buy-in and prize pool.</w:t>
      </w:r>
    </w:p>
    <w:p>
      <w:pPr>
        <w:spacing w:after="160"/>
      </w:pPr>
      <w:r>
        <w:rPr>
          <w:b w:val="0"/>
        </w:rPr>
        <w:t>I pair that instinct with quantitative work I can defend line by line. I built a Monte Carlo option pricer in which a geometric-Asian control variate cut the standard error of arithmetic-Asian estimates by 97.24% at 100,000 paths, and my dissertation forecasts European gas volatility with mixed-frequency (MIDAS) models, testing whether better forecasts improve a volatility-targeted TTF futures strategy.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Old Mission stands out to me because its junior traders combine disciplined decision-making, risk management and derivative pricing with research into new opportunities, and because its London business is growing, having joined the Iress UK retail service provider network as an ETF market maker in late 2025. My econometrics work in R and MATLAB has trained me to model prices from noisy data, which is what pricing an illiquid ETF from its underlying holdings demands.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