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Quilter Cheviot</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writing to ask to be considered for a Trainee Investment Manager role in Glasgow. I am a final-year Economics student at the University of Strathclyde, graduating in summer 2027 with a predicted 2:1. Quilter Cheviot's growth to 189 discretionary investment managers, with high-net-worth net inflows up 13% to £522 million in the first half of 2026, shows a firm that is adding investment managers rather than cutting them.</w:t>
      </w:r>
    </w:p>
    <w:p>
      <w:pPr>
        <w:spacing w:after="160"/>
      </w:pPr>
      <w:r>
        <w:rPr>
          <w:b w:val="0"/>
        </w:rPr>
        <w:t>Private banking depends on trust, and trust is earned by explaining complex things clearly. As co-founder of the Strathclyde Agricapital Society, which I grew to 126 members, I led weekly research sessions on transactions such as Olam Agri's USD 1.24bn stake sale to SALIC and published research notes written for members from outside finance. In nearly two years at KONG, I learned that a recommendation works only when it fits the person hearing it: by analysing sales patterns and refining our upselling prompts, I raised average customer spend by an estimated 25%, while reconciling cash and card takings at the end of every shift.</w:t>
      </w:r>
    </w:p>
    <w:p>
      <w:pPr>
        <w:spacing w:after="160"/>
      </w:pPr>
      <w:r>
        <w:rPr>
          <w:b w:val="0"/>
        </w:rPr>
        <w:t>I pair that with a rigorous grounding in how investments behave. I tested CAPM on 704 anomaly portfolios across 56 countries, and my dissertation forecasts European gas volatility with mixed-frequency (MIDAS) models, testing whether better risk forecasts improve a volatility-targeted strategy. Private banking appeals to me because it brings both sides together: rigorous investment thinking in service of a long-term relationship with a client and their family. As Head Mixologist at Le Set, a new 200-cover Glasgow venue, I also train around 15 staff to deliver a consistent standard every shift.</w:t>
      </w:r>
    </w:p>
    <w:p>
      <w:pPr>
        <w:spacing w:after="160"/>
      </w:pPr>
      <w:r>
        <w:rPr>
          <w:b w:val="0"/>
        </w:rPr>
        <w:t>Quilter Cheviot stands out to me because its trainees follow a clear path to becoming discretionary investment managers, with full training and industry qualifications, and because it is building its presence in Scotland, appointing an experienced investment manager to its Edinburgh office in August 2026. I would be glad to train in your Glasgow office, combining the rigour of my research with the client care I learned in hospitality.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