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BiGGAR Economics</w:t>
      </w:r>
    </w:p>
    <w:p>
      <w:pPr>
        <w:spacing w:after="0"/>
      </w:pPr>
      <w:r>
        <w:rPr>
          <w:b w:val="0"/>
        </w:rPr>
        <w:t>Edinburgh</w:t>
      </w:r>
    </w:p>
    <w:p>
      <w:pPr>
        <w:spacing w:after="0"/>
      </w:pPr>
      <w:r>
        <w:rPr>
          <w:b w:val="0"/>
        </w:rPr>
      </w:r>
    </w:p>
    <w:p>
      <w:pPr>
        <w:spacing w:after="160"/>
      </w:pPr>
      <w:r>
        <w:rPr>
          <w:b w:val="0"/>
        </w:rPr>
        <w:t>Dear Sir or Madam,</w:t>
      </w:r>
    </w:p>
    <w:p>
      <w:pPr>
        <w:spacing w:after="160"/>
      </w:pPr>
      <w:r>
        <w:rPr>
          <w:b w:val="0"/>
        </w:rPr>
        <w:t>I am writing to ask to be considered for a graduate Research Economist role in Edinburgh. I am a final-year Economics student at the University of Strathclyde, graduating in summer 2027 with a predicted 2:1. BiGGAR Economics' socio-economic work across Scotland, from its April 2026 impact study of the University of the Highlands and Islands to its analysis of pumped storage hydro, is the applied economics I want to do.</w:t>
      </w:r>
    </w:p>
    <w:p>
      <w:pPr>
        <w:spacing w:after="160"/>
      </w:pPr>
      <w:r>
        <w:rPr>
          <w:b w:val="0"/>
        </w:rPr>
        <w:t>The work I am proudest of follows a consulting arc: diagnose with data, recommend a change, then make it happen. At KONG, I analysed sales patterns and used them to refine our upselling prompts, raising average customer spend by an estimated 25%. As Head Mixologist at Le Set, a new 200-cover restaurant and cocktail lounge in Glasgow, I created the house cocktails and set the specifications for its classics from launch, wrote the batch specifications the team works to, and trained around 15 bar staff, several new to cocktail bartending, to deliver them consistently.</w:t>
      </w:r>
    </w:p>
    <w:p>
      <w:pPr>
        <w:spacing w:after="160"/>
      </w:pPr>
      <w:r>
        <w:rPr>
          <w:b w:val="0"/>
        </w:rPr>
        <w:t>Consulting appeals to me for the range of problems and the standard of thinking it demands: a recommendation has to be structured, evidenced and clear enough for a client to act on. My dissertation applies the same discipline to a broad question, whether news improves forecasts of European gas volatility, by breaking it into testable parts using mixed-frequency (MIDAS) models and out-of-sample comparisons against benchmarks. In co-founding the Strathclyde Agricapital Society, I built an organisation from launch to 126 members and led weekly sessions on transactions such as Olam Agri's USD 1.24bn stake sale to SALIC.</w:t>
      </w:r>
    </w:p>
    <w:p>
      <w:pPr>
        <w:spacing w:after="160"/>
      </w:pPr>
      <w:r>
        <w:rPr>
          <w:b w:val="0"/>
        </w:rPr>
        <w:t>BiGGAR stands out to me because its research economists turn economic theory into evidence that clients use for investment and policy decisions, including its estimate that six pumped storage hydro projects in Scotland could support almost 15,000 jobs. My dissertation on energy markets and my econometrics in R and MATLAB would let me contribute to energy and economic impact studies from the start.</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