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Partners Group (UK) Ltd</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Portfolio &amp; Quant Analyst (new graduate level) role in London. I am a final-year Economics student at the University of Strathclyde, graduating in summer 2027 with a predicted 2:1. Partners Group's Portfolio Solutions team, whose bespoke mandates drove most of the firm's record $16 billion of new commitments in the first half of 2026, works on the question my research keeps returning to: how to build a portfolio whose risk is properly understood.</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Partners Group's Portfolio Solutions team stands out to me because it covers the whole chain from relative-value views to portfolio construction and monitoring across private markets, and bespoke solutions made up a clear majority of the firm's record fundraising in the first half of 2026. Private assets make risk harder to measure because their prices are observed infrequently, and my work forecasting volatility with mixed-frequency data, alongside testing CAPM across 694 portfolios, has given me a grounding in exactly the econometrics that problem needs.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