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Janus Henderson Investors</w:t>
      </w:r>
    </w:p>
    <w:p>
      <w:pPr>
        <w:spacing w:after="0"/>
      </w:pPr>
      <w:r>
        <w:rPr>
          <w:b w:val="0"/>
        </w:rPr>
        <w:t>201 Bishopsgate</w:t>
      </w:r>
    </w:p>
    <w:p>
      <w:pPr>
        <w:spacing w:after="0"/>
      </w:pPr>
      <w:r>
        <w:rPr>
          <w:b w:val="0"/>
        </w:rPr>
        <w:t>London EC2M 3AE</w:t>
      </w:r>
    </w:p>
    <w:p>
      <w:pPr>
        <w:spacing w:after="0"/>
      </w:pPr>
      <w:r>
        <w:rPr>
          <w:b w:val="0"/>
        </w:rPr>
      </w:r>
    </w:p>
    <w:p>
      <w:pPr>
        <w:spacing w:after="160"/>
      </w:pPr>
      <w:r>
        <w:rPr>
          <w:b w:val="0"/>
        </w:rPr>
        <w:t>Dear Sir or Madam,</w:t>
      </w:r>
    </w:p>
    <w:p>
      <w:pPr>
        <w:spacing w:after="160"/>
      </w:pPr>
      <w:r>
        <w:rPr>
          <w:b w:val="0"/>
        </w:rPr>
        <w:t>I am applying for the Research Associate – Investment Graduate Programme 2027 in London, with a particular interest in energy and industrials coverage. I am a final-year Economics student at the University of Strathclyde, graduating in summer 2027 with a predicted 2:1. Janus Henderson's two-year immersion in its equities team, built on research that combines quantitative financial analysis with qualitative judgement, is the training I want.</w:t>
      </w:r>
    </w:p>
    <w:p>
      <w:pPr>
        <w:spacing w:after="160"/>
      </w:pPr>
      <w:r>
        <w:rPr>
          <w:b w:val="0"/>
        </w:rPr>
        <w:t>Equity research rewards a view that is stated plainly and tested honestly, and that is how I try to work. My dissertation, supervised by Dr Luigi Gifuni, asks whether news improves forecasts of European gas volatility: I am building mixed-frequency (MIDAS) models from daily storage, market and news-based data, testing them out-of-sample against established benchmarks and asking whether better forecasts carry economic value. I also tested CAPM on 694 anomaly portfolios across 54 countries, finding that momentum and value alphas survive statistical scrutiny far more often than size, and my final-year modules include Industrial Economics and Natural Resource, Environmental and Energy Economics, which give me a framework for how industries compete.</w:t>
      </w:r>
    </w:p>
    <w:p>
      <w:pPr>
        <w:spacing w:after="160"/>
      </w:pPr>
      <w:r>
        <w:rPr>
          <w:b w:val="0"/>
        </w:rPr>
        <w:t>What draws me to research is the writing as much as the analysis: a note is only useful if a busy reader can act on it. As co-founder of the Strathclyde Agricapital Society, which I grew to 126 members, I published weekly research notes and dashboards and led sessions on transactions such as Olam Agri's USD 1.24bn stake sale to SALIC, explaining each to members from outside finance.</w:t>
      </w:r>
    </w:p>
    <w:p>
      <w:pPr>
        <w:spacing w:after="160"/>
      </w:pPr>
      <w:r>
        <w:rPr>
          <w:b w:val="0"/>
        </w:rPr>
        <w:t>Janus Henderson stands out to me because it is moving into private ownership under Trian and General Catalyst after regulators approved the deal in June 2026, keeping its management team and London headquarters and giving its equity teams room to think long term. The programme's blend of quantitative financial analysis and qualitative research matches how I work: my CAPM study tested 694 portfolios statistically, but explaining deals such as Olam Agri's stake sale to SALIC taught me that numbers only matter once you understand the business behind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