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Kiltearn Partners LLP</w:t>
      </w:r>
    </w:p>
    <w:p>
      <w:pPr>
        <w:spacing w:after="0"/>
      </w:pPr>
      <w:r>
        <w:rPr>
          <w:b w:val="0"/>
        </w:rPr>
        <w:t>22 Charlotte Square</w:t>
      </w:r>
    </w:p>
    <w:p>
      <w:pPr>
        <w:spacing w:after="0"/>
      </w:pPr>
      <w:r>
        <w:rPr>
          <w:b w:val="0"/>
        </w:rPr>
        <w:t>Edinburgh EH2 4DF</w:t>
      </w:r>
    </w:p>
    <w:p>
      <w:pPr>
        <w:spacing w:after="0"/>
      </w:pPr>
      <w:r>
        <w:rPr>
          <w:b w:val="0"/>
        </w:rPr>
      </w:r>
    </w:p>
    <w:p>
      <w:pPr>
        <w:spacing w:after="160"/>
      </w:pPr>
      <w:r>
        <w:rPr>
          <w:b w:val="0"/>
        </w:rPr>
        <w:t>Dear Sir or Madam,</w:t>
      </w:r>
    </w:p>
    <w:p>
      <w:pPr>
        <w:spacing w:after="160"/>
      </w:pPr>
      <w:r>
        <w:rPr>
          <w:b w:val="0"/>
        </w:rPr>
        <w:t>I am writing to ask to be considered for a junior investment analyst role in Edinburgh. I am a final-year Economics student at the University of Strathclyde, graduating in summer 2027 with a predicted 2:1. Kiltearn's single global equity programme, run since 2011 with a disciplined value philosophy, is the kind of concentrated, research-led investing I would most like to learn, and it is run from Edinburgh.</w:t>
      </w:r>
    </w:p>
    <w:p>
      <w:pPr>
        <w:spacing w:after="160"/>
      </w:pPr>
      <w:r>
        <w:rPr>
          <w:b w:val="0"/>
        </w:rPr>
        <w:t>My work keeps returning to one question: does an apparent edge survive a proper test? I tested CAPM on 694 anomaly portfolios across 54 countries and rejected zero alpha jointly in 48 of 53, with momentum the most persistent anomaly. My dissertation, supervised by Dr Luigi Gifuni, forecasts European gas volatility with mixed-frequency (MIDAS) models built on storage, market and news-based data, evaluates them out-of-sample against HAR and AR benchmarks, and asks whether better forecasts improve a volatility-targeted TTF futures strategy. As co-founder of the Strathclyde Agricapital Society, I also built a wheat calendar-spread strategy whose weekly backtest returned a Sharpe ratio of 0.76 before costs and 0.28 after, which taught me how quickly turnover erodes an edge.</w:t>
      </w:r>
    </w:p>
    <w:p>
      <w:pPr>
        <w:spacing w:after="160"/>
      </w:pPr>
      <w:r>
        <w:rPr>
          <w:b w:val="0"/>
        </w:rPr>
        <w:t>Hedge funds appeal to me because the distance between an idea and its consequences is short: a research view becomes a position, and the position is marked every day. I take that accountability seriously. My lifetime poker winnings of over £40,000 came from respecting variance and sizing risk to a strict 50-buy-in bankroll rule, and as Treasurer of the Agricapital Society, which I helped grow to 126 members, I manage its budget and accounts.</w:t>
      </w:r>
    </w:p>
    <w:p>
      <w:pPr>
        <w:spacing w:after="160"/>
      </w:pPr>
      <w:r>
        <w:rPr>
          <w:b w:val="0"/>
        </w:rPr>
        <w:t>Kiltearn stands out to me because it screens world equity markets on valuation and then does deep fundamental work on a focused set of holdings, an approach my own research supports: across 54 countries, value was among the most persistent anomalies once tested properly. I would be glad to be considered for any junior analyst opening and to bring my econometrics and my habit of writing research up clearly to a small Edinburgh team.</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