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Point72</w:t>
      </w:r>
    </w:p>
    <w:p>
      <w:pPr>
        <w:spacing w:after="0"/>
      </w:pPr>
      <w:r>
        <w:rPr>
          <w:b w:val="0"/>
        </w:rPr>
        <w:t>London</w:t>
      </w:r>
    </w:p>
    <w:p>
      <w:pPr>
        <w:spacing w:after="0"/>
      </w:pPr>
      <w:r>
        <w:rPr>
          <w:b w:val="0"/>
        </w:rPr>
      </w:r>
    </w:p>
    <w:p>
      <w:pPr>
        <w:spacing w:after="160"/>
      </w:pPr>
      <w:r>
        <w:rPr>
          <w:b w:val="0"/>
        </w:rPr>
        <w:t>Dear Sir or Madam,</w:t>
      </w:r>
    </w:p>
    <w:p>
      <w:pPr>
        <w:spacing w:after="160"/>
      </w:pPr>
      <w:r>
        <w:rPr>
          <w:b w:val="0"/>
        </w:rPr>
        <w:t>I am applying for the Point72 Academy Investment Analyst Program for Upcoming Graduates (2027 – UK) in London. I am a final-year Economics student at the University of Strathclyde, graduating in summer 2027 with a predicted 2:1. The Point72 Academy's ten-month programme, which teaches statistics, modelling and coding before analysts join investment teams, is the most structured route I have found from academic research to holding a real investment view.</w:t>
      </w:r>
    </w:p>
    <w:p>
      <w:pPr>
        <w:spacing w:after="160"/>
      </w:pPr>
      <w:r>
        <w:rPr>
          <w:b w:val="0"/>
        </w:rPr>
        <w:t>My work keeps returning to one question: does an apparent edge survive a proper test? I tested CAPM on 694 anomaly portfolios across 54 countries and rejected zero alpha jointly in 48 of 53, with momentum the most persistent anomaly. My dissertation, supervised by Dr Luigi Gifuni, forecasts European gas volatility with mixed-frequency (MIDAS) models built on storage, market and news-based data, evaluates them out-of-sample against HAR and AR benchmarks, and asks whether better forecasts improve a volatility-targeted TTF futures strategy. As co-founder of the Strathclyde Agricapital Society, I also built a wheat calendar-spread strategy whose weekly backtest returned a Sharpe ratio of 0.76 before costs and 0.28 after, which taught me how quickly turnover erodes an edge.</w:t>
      </w:r>
    </w:p>
    <w:p>
      <w:pPr>
        <w:spacing w:after="160"/>
      </w:pPr>
      <w:r>
        <w:rPr>
          <w:b w:val="0"/>
        </w:rPr>
        <w:t>Hedge funds appeal to me because the distance between an idea and its consequences is short: a research view becomes a position, and the position is marked every day. I take that accountability seriously. My lifetime poker winnings of over £40,000 came from respecting variance and sizing risk to a strict 50-buy-in bankroll rule, and as Treasurer of the Agricapital Society, which I helped grow to 126 members, I manage its budget and accounts.</w:t>
      </w:r>
    </w:p>
    <w:p>
      <w:pPr>
        <w:spacing w:after="160"/>
      </w:pPr>
      <w:r>
        <w:rPr>
          <w:b w:val="0"/>
        </w:rPr>
        <w:t>The Point72 Academy stands out to me because it treats training as a real investment: eight months of formal teaching in company analysis, modelling, data analysis and coding, followed by rotations with investment teams, with more than 230 Academy graduates placed at the firm as of March 2026. My CAPM work showed me how rarely an apparent edge survives proper testing, and I would like to learn how Point72's analysts build fundamental views that do.</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