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Maven Securities</w:t>
      </w:r>
    </w:p>
    <w:p>
      <w:pPr>
        <w:spacing w:after="0"/>
      </w:pPr>
      <w:r>
        <w:rPr>
          <w:b w:val="0"/>
        </w:rPr>
        <w:t>Amsterdam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Trader Programme 2027 in Amsterdam. I am a final-year Economics student at the University of Strathclyde, graduating in summer 2027 with a predicted 2:1. Maven's options market making, where it is consistently ranked among the top three liquidity providers on the exchanges it trades, is the business I want to learn.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Maven Securities stands out to me because it combines the reach of a top-three liquidity provider in listed options and futures with a size where a graduate's contribution is visible, and its programme begins with eleven weeks of structured training in London. Building my Monte Carlo pricer gave me a first-hand feel for how option values respond to volatility, and I would like to turn that understanding into quoting real markets.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