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Baillie Gifford &amp; Co</w:t>
      </w:r>
    </w:p>
    <w:p>
      <w:pPr>
        <w:spacing w:after="0"/>
      </w:pPr>
      <w:r>
        <w:rPr>
          <w:b w:val="0"/>
        </w:rPr>
        <w:t>Calton Square, 1 Greenside Row</w:t>
      </w:r>
    </w:p>
    <w:p>
      <w:pPr>
        <w:spacing w:after="0"/>
      </w:pPr>
      <w:r>
        <w:rPr>
          <w:b w:val="0"/>
        </w:rPr>
        <w:t>Edinburgh EH1 3AN</w:t>
      </w:r>
    </w:p>
    <w:p>
      <w:pPr>
        <w:spacing w:after="0"/>
      </w:pPr>
      <w:r>
        <w:rPr>
          <w:b w:val="0"/>
        </w:rPr>
      </w:r>
    </w:p>
    <w:p>
      <w:pPr>
        <w:spacing w:after="160"/>
      </w:pPr>
      <w:r>
        <w:rPr>
          <w:b w:val="0"/>
        </w:rPr>
        <w:t>Dear Sir or Madam,</w:t>
      </w:r>
    </w:p>
    <w:p>
      <w:pPr>
        <w:spacing w:after="160"/>
      </w:pPr>
      <w:r>
        <w:rPr>
          <w:b w:val="0"/>
        </w:rPr>
        <w:t>I am applying for the Investment Research Graduate Programme 2027 in Edinburgh. I am a final-year Economics student at the University of Strathclyde, graduating in summer 2027 with a predicted 2:1. Baillie Gifford's patience as a long-term growth investor, able to hold companies through both their private and public lives, is the opposite of the short-term noise my research tries to filter out.</w:t>
      </w:r>
    </w:p>
    <w:p>
      <w:pPr>
        <w:spacing w:after="160"/>
      </w:pPr>
      <w:r>
        <w:rPr>
          <w:b w:val="0"/>
        </w:rPr>
        <w:t>My academic work centres on a question asset managers answer every day: what is a return worth once its risk is understood? I tested CAPM on 694 anomaly portfolios across 54 countries and found it fails jointly in 48 of 53, with momentum and value earning the most persistent alphas. My dissertation, supervised by Dr Luigi Gifuni, forecasts European gas volatility with mixed-frequency (MIDAS) models built on storage, market and news-based data, and tests whether better risk forecasts improve a volatility-targeted futures strategy, a question that matters to any portfolio with commodity exposure.</w:t>
      </w:r>
    </w:p>
    <w:p>
      <w:pPr>
        <w:spacing w:after="160"/>
      </w:pPr>
      <w:r>
        <w:rPr>
          <w:b w:val="0"/>
        </w:rPr>
        <w:t>Asset management appeals to me because it rewards a process that holds up over years rather than a single good call, and because the money belongs to people relying on that process. As co-founder of the Strathclyde Agricapital Society, which I grew to 126 members, I led weekly research sessions on transactions such as Olam Agri's USD 1.24bn stake sale to SALIC and published weekly research notes for members from outside finance. That work taught me that a sound view is only half the job; it also has to be explained clearly to the people who rely on it.</w:t>
      </w:r>
    </w:p>
    <w:p>
      <w:pPr>
        <w:spacing w:after="160"/>
      </w:pPr>
      <w:r>
        <w:rPr>
          <w:b w:val="0"/>
        </w:rPr>
        <w:t>Baillie Gifford stands out to me because its partnership structure lets it judge companies over five and ten years rather than quarters, and trusts such as Scottish Mortgage can back businesses through their private and public lifetimes. My factor research found that most apparent anomalies weaken under proper testing, which makes me respect a process built on deep company research held over long horizons, and I would be glad to learn it in Edinburgh, an hour from where I study.</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