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Franklin Templeton</w:t>
      </w:r>
    </w:p>
    <w:p>
      <w:pPr>
        <w:spacing w:after="0"/>
      </w:pPr>
      <w:r>
        <w:rPr>
          <w:b w:val="0"/>
        </w:rPr>
        <w:t>Cannon Place, 78 Cannon Street</w:t>
      </w:r>
    </w:p>
    <w:p>
      <w:pPr>
        <w:spacing w:after="0"/>
      </w:pPr>
      <w:r>
        <w:rPr>
          <w:b w:val="0"/>
        </w:rPr>
        <w:t>London EC4N 6HL</w:t>
      </w:r>
    </w:p>
    <w:p>
      <w:pPr>
        <w:spacing w:after="0"/>
      </w:pPr>
      <w:r>
        <w:rPr>
          <w:b w:val="0"/>
        </w:rPr>
      </w:r>
    </w:p>
    <w:p>
      <w:pPr>
        <w:spacing w:after="160"/>
      </w:pPr>
      <w:r>
        <w:rPr>
          <w:b w:val="0"/>
        </w:rPr>
        <w:t>Dear Sir or Madam,</w:t>
      </w:r>
    </w:p>
    <w:p>
      <w:pPr>
        <w:spacing w:after="160"/>
      </w:pPr>
      <w:r>
        <w:rPr>
          <w:b w:val="0"/>
        </w:rPr>
        <w:t>I am applying for the Futures Rotational Graduate Program – Investment Management (2027) in London. I am a final-year Economics student at the University of Strathclyde, graduating in summer 2027 with a predicted 2:1. Franklin Templeton's Futures Program, which rotates graduates across investment teams that use data and digital tools alongside fundamental research, suits an economist whose research runs on code.</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Franklin Templeton stands out to me because of its breadth across public and private markets and its continuing commitment to Scotland, where its Edinburgh office houses several portfolio management teams as the Martin Currie teams move under ClearBridge and Franklin Equity Group. A rotational programme would let me test where my strengths fit best, from the factor research behind my CAPM study to the risk forecasting in my dissertation.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