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Ruffer LLP</w:t>
      </w:r>
    </w:p>
    <w:p>
      <w:pPr>
        <w:spacing w:after="0"/>
      </w:pPr>
      <w:r>
        <w:rPr>
          <w:b w:val="0"/>
        </w:rPr>
        <w:t>80 Victoria Street</w:t>
      </w:r>
    </w:p>
    <w:p>
      <w:pPr>
        <w:spacing w:after="0"/>
      </w:pPr>
      <w:r>
        <w:rPr>
          <w:b w:val="0"/>
        </w:rPr>
        <w:t>London SW1E 5JL</w:t>
      </w:r>
    </w:p>
    <w:p>
      <w:pPr>
        <w:spacing w:after="0"/>
      </w:pPr>
      <w:r>
        <w:rPr>
          <w:b w:val="0"/>
        </w:rPr>
      </w:r>
    </w:p>
    <w:p>
      <w:pPr>
        <w:spacing w:after="160"/>
      </w:pPr>
      <w:r>
        <w:rPr>
          <w:b w:val="0"/>
        </w:rPr>
        <w:t>Dear Sir or Madam,</w:t>
      </w:r>
    </w:p>
    <w:p>
      <w:pPr>
        <w:spacing w:after="160"/>
      </w:pPr>
      <w:r>
        <w:rPr>
          <w:b w:val="0"/>
        </w:rPr>
        <w:t>I am applying for the Investment Graduate Programme in London. I am a final-year Economics student at the University of Strathclyde, graduating in summer 2027 with a predicted 2:1. Ruffer's absolute-return approach, which helped Ruffer Investment Company deliver a 4.6% NAV total return in the year to June 2026 while keeping its protective positions in place, reflects the risk-first thinking that runs through my own research.</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Ruffer stands out to me because it treats protecting capital as seriously as growing it: in the year to June 2026, Ruffer Investment Company's equity and gold positions more than paid for the cost of its protection, which spans credit and derivative strategies, the yen and selective duration. My dissertation is about forecasting volatility and asking whether better risk forecasts pay their way, and I would like to learn how Ruffer's research team decides when protection is worth its cost.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