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Da Vinci Derivatives</w:t>
      </w:r>
    </w:p>
    <w:p>
      <w:pPr>
        <w:spacing w:after="0"/>
      </w:pPr>
      <w:r>
        <w:rPr>
          <w:b w:val="0"/>
        </w:rPr>
        <w:t>Amsterdam, Netherlands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Graduate Trader role in Amsterdam. I am a final-year Economics student at the University of Strathclyde, graduating in summer 2027 with a predicted 2:1. Da Vinci's focus on volatility, trading related derivatives against each other on the basis of their correlations, is close to the questions my dissertation asks about what drives volatility.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rule. I also finished 14th at the Irish U19 Chess Championships in 2023 and won 21 of 22 games in a simultaneous exhibition against players with an average FIDE rating of 1860.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97% at 100,000 paths, and my dissertation forecasts European gas volatility with mixed-frequency (MIDAS) models, testing whether better forecasts improve a volatility-targeted TTF futures strategy.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Da Vinci stands out to me because, as a firm founded in 2015, it is still small enough for graduate traders to own strategies, generate profit through position-taking and market making, and improve the firm's trading infrastructure. My dissertation forecasts volatility rather than price, and my option pricer gave me a first-hand feel for how volatility feeds into value; I would like to develop both into trading judgement on Da Vinci's desks.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