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</w:rPr>
        <w:t>Will McGowan</w:t>
      </w:r>
    </w:p>
    <w:p>
      <w:pPr>
        <w:spacing w:after="0"/>
      </w:pPr>
      <w:r>
        <w:rPr>
          <w:b w:val="0"/>
        </w:rPr>
        <w:t>9 Clarendon Place, Glasgow G20 7PZ</w:t>
      </w:r>
    </w:p>
    <w:p>
      <w:pPr>
        <w:spacing w:after="0"/>
      </w:pPr>
      <w:r>
        <w:rPr>
          <w:b w:val="0"/>
        </w:rPr>
        <w:t>+44 7562 299 515 | mcgowanwill366@gmail.com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6 October 2026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Graduate Recruitment Team</w:t>
      </w:r>
    </w:p>
    <w:p>
      <w:pPr>
        <w:spacing w:after="0"/>
      </w:pPr>
      <w:r>
        <w:rPr>
          <w:b w:val="0"/>
        </w:rPr>
        <w:t>Macquarie Group</w:t>
      </w:r>
    </w:p>
    <w:p>
      <w:pPr>
        <w:spacing w:after="0"/>
      </w:pPr>
      <w:r>
        <w:rPr>
          <w:b w:val="0"/>
        </w:rPr>
        <w:t>Ropemaker Place, 28 Ropemaker Street</w:t>
      </w:r>
    </w:p>
    <w:p>
      <w:pPr>
        <w:spacing w:after="0"/>
      </w:pPr>
      <w:r>
        <w:rPr>
          <w:b w:val="0"/>
        </w:rPr>
        <w:t>London EC2Y 9HD</w:t>
      </w:r>
    </w:p>
    <w:p>
      <w:pPr>
        <w:spacing w:after="0"/>
      </w:pPr>
      <w:r>
        <w:rPr>
          <w:b w:val="0"/>
        </w:rPr>
      </w:r>
    </w:p>
    <w:p>
      <w:pPr>
        <w:spacing w:after="160"/>
      </w:pPr>
      <w:r>
        <w:rPr>
          <w:b w:val="0"/>
        </w:rPr>
        <w:t>Dear Sir or Madam,</w:t>
      </w:r>
    </w:p>
    <w:p>
      <w:pPr>
        <w:spacing w:after="160"/>
      </w:pPr>
      <w:r>
        <w:rPr>
          <w:b w:val="0"/>
        </w:rPr>
        <w:t>I am applying for the 2027 Commodities and Global Markets Graduate Programme in London, with a particular interest in commodities, particularly energy. I am a final-year Economics student at the University of Strathclyde, graduating in summer 2027 with a predicted 2:1. Macquarie's recognition as Natural Gas/LNG House of the Year at the 2026 Energy Risk Awards matters to me because energy markets, and the currencies they move, are what my dissertation studies.</w:t>
      </w:r>
    </w:p>
    <w:p>
      <w:pPr>
        <w:spacing w:after="160"/>
      </w:pPr>
      <w:r>
        <w:rPr>
          <w:b w:val="0"/>
        </w:rPr>
        <w:t>Much of my work centres on commodity markets. My dissertation, supervised by Dr Luigi Gifuni, tests whether governments that hedge oil change how their currencies react to OPEC news: whether Norway's krone conversions, Russia's 2017–22 budget rule and Mexico's put hedge make the oil beta smaller, kinked or one-sided, and whether any beta that remains can be traded after costs. As co-founder of the Strathclyde Agricapital Society, which I grew to 126 members, I built a wheat calendar-spread strategy in R from futures curve structure and CFTC Commitments of Traders positioning, and published weekly research notes for members.</w:t>
      </w:r>
    </w:p>
    <w:p>
      <w:pPr>
        <w:spacing w:after="160"/>
      </w:pPr>
      <w:r>
        <w:rPr>
          <w:b w:val="0"/>
        </w:rPr>
        <w:t>Sales and trading appeals to me because it joins analysis to a live price and to a client who needs a clear answer quickly. Writing those weekly notes taught me to turn analysis into a view that non-specialists can act on. In nearly two years at KONG, I learned that a recommendation lands only when it fits the person hearing it: by analysing sales patterns and refining our upselling prompts, I raised average customer spend by an estimated 25%. I also take risk seriously: at the Strathclyde Poker Society, where I was Vice-President and then President, I taught new members to use the Kelly criterion to work out how many buy-ins their own win rate, variance and appetite for risk call for.</w:t>
      </w:r>
    </w:p>
    <w:p>
      <w:pPr>
        <w:spacing w:after="160"/>
      </w:pPr>
      <w:r>
        <w:rPr>
          <w:b w:val="0"/>
        </w:rPr>
        <w:t>Macquarie's Commodities and Global Markets business stands out to me because it combines physical and financial expertise in gas, from the long-term LNG offtake agreements it signed with Texas LNG and AMIGO LNG in 2025 to the risk-management solutions it offers clients, and it was named Natural Gas/LNG House of the Year at the 2026 Energy Risk Awards. My dissertation tests whether a government's oil hedge changes how its currency trades OPEC news, and I would like to learn how Macquarie designs and prices the hedges its own clients rely on.</w:t>
      </w:r>
    </w:p>
    <w:p>
      <w:pPr>
        <w:spacing w:after="160"/>
      </w:pPr>
      <w:r>
        <w:rPr>
          <w:b w:val="0"/>
        </w:rPr>
        <w:t>I would welcome the opportunity to discuss my application. Thank you for your time and consideration.</w:t>
      </w:r>
    </w:p>
    <w:p>
      <w:pPr>
        <w:spacing w:after="0"/>
      </w:pPr>
      <w:r>
        <w:rPr>
          <w:b w:val="0"/>
        </w:rPr>
        <w:t>Yours faithfully,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Will McGowan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