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BNP Paribas</w:t>
      </w:r>
    </w:p>
    <w:p>
      <w:pPr>
        <w:spacing w:after="0"/>
      </w:pPr>
      <w:r>
        <w:rPr>
          <w:b w:val="0"/>
        </w:rPr>
        <w:t>10 Harewood Avenue</w:t>
      </w:r>
    </w:p>
    <w:p>
      <w:pPr>
        <w:spacing w:after="0"/>
      </w:pPr>
      <w:r>
        <w:rPr>
          <w:b w:val="0"/>
        </w:rPr>
        <w:t>London NW1 6AA</w:t>
      </w:r>
    </w:p>
    <w:p>
      <w:pPr>
        <w:spacing w:after="0"/>
      </w:pPr>
      <w:r>
        <w:rPr>
          <w:b w:val="0"/>
        </w:rPr>
      </w:r>
    </w:p>
    <w:p>
      <w:pPr>
        <w:spacing w:after="160"/>
      </w:pPr>
      <w:r>
        <w:rPr>
          <w:b w:val="0"/>
        </w:rPr>
        <w:t>Dear Sir or Madam,</w:t>
      </w:r>
    </w:p>
    <w:p>
      <w:pPr>
        <w:spacing w:after="160"/>
      </w:pPr>
      <w:r>
        <w:rPr>
          <w:b w:val="0"/>
        </w:rPr>
        <w:t>I am applying for the 2027 Global Markets Graduate Analyst Programme in London, with a particular interest in Global Macro, particularly commodities and FX. I am a final-year Economics student at the University of Strathclyde, graduating in summer 2027 with a predicted 2:1. BNP Paribas's Global Macro business, which covers FX, rates and commodities across developed and emerging markets, offers the breadth across asset classes I want at the start of my career.</w:t>
      </w:r>
    </w:p>
    <w:p>
      <w:pPr>
        <w:spacing w:after="160"/>
      </w:pPr>
      <w:r>
        <w:rPr>
          <w:b w:val="0"/>
        </w:rPr>
        <w:t>Much of my work centres on commodity markets. My dissertation, supervised by Dr Luigi Gifuni, tests whether governments that hedge oil change how their currencies react to OPEC news: whether Norway's krone conversions, Russia's 2017–22 budget rule and Mexico's put hedge make the oil beta smaller, kinked or one-sided, and whether any beta that remains can be traded after costs.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at the Strathclyde Poker Society, where I was Vice-President and then President, I taught new members to use the Kelly criterion to work out how many buy-ins their own win rate, variance and appetite for risk call for.</w:t>
      </w:r>
    </w:p>
    <w:p>
      <w:pPr>
        <w:spacing w:after="160"/>
      </w:pPr>
      <w:r>
        <w:rPr>
          <w:b w:val="0"/>
        </w:rPr>
        <w:t>BNP Paribas's Global Markets franchise stands out to me because its FICC business has driven the bank's results in 2026, with a sharp rise in FICC revenue in the first quarter, and because Global Macro offers the full spectrum of FX, rates and commodities products. My dissertation sits exactly where commodities meet FX, testing how oil news moves the currencies of oil exporters and whether government hedges change that link, and I would value a desk that sees those connections from the inside.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