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Man Group</w:t>
      </w:r>
    </w:p>
    <w:p>
      <w:pPr>
        <w:spacing w:after="0"/>
      </w:pPr>
      <w:r>
        <w:rPr>
          <w:b w:val="0"/>
        </w:rPr>
        <w:t>Riverbank House, 2 Swan Lane</w:t>
      </w:r>
    </w:p>
    <w:p>
      <w:pPr>
        <w:spacing w:after="0"/>
      </w:pPr>
      <w:r>
        <w:rPr>
          <w:b w:val="0"/>
        </w:rPr>
        <w:t>London EC4R 3AD</w:t>
      </w:r>
    </w:p>
    <w:p>
      <w:pPr>
        <w:spacing w:after="0"/>
      </w:pPr>
      <w:r>
        <w:rPr>
          <w:b w:val="0"/>
        </w:rPr>
      </w:r>
    </w:p>
    <w:p>
      <w:pPr>
        <w:spacing w:after="160"/>
      </w:pPr>
      <w:r>
        <w:rPr>
          <w:b w:val="0"/>
        </w:rPr>
        <w:t>Dear Sir or Madam,</w:t>
      </w:r>
    </w:p>
    <w:p>
      <w:pPr>
        <w:spacing w:after="160"/>
      </w:pPr>
      <w:r>
        <w:rPr>
          <w:b w:val="0"/>
        </w:rPr>
        <w:t>I am applying for the Solutions Graduate Programme (2027 intake) in London. I am a final-year Economics student at the University of Strathclyde, graduating in summer 2027 with a predicted 2:1. Man Group's Solutions programme, which rotates graduates through portfolio management, quant and advisory teams, would let me apply my asset-pricing research to the portfolios clients actually hold.</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As Vice-President and then President of the Strathclyde Poker Society, I taught new members to use the Kelly criterion to work out how many buy-ins their win rate, variance and risk tolerance call for, with a buffer because their edge is only an estimate; a position sized on an uncertain alpha needs the same caution. As Treasurer of the Agricapital Society, which I helped grow to 126 members, I manage its budget and accounts.</w:t>
      </w:r>
    </w:p>
    <w:p>
      <w:pPr>
        <w:spacing w:after="160"/>
      </w:pPr>
      <w:r>
        <w:rPr>
          <w:b w:val="0"/>
        </w:rPr>
        <w:t>Man Group stands out to me because it runs systematic and discretionary investing on one platform, and clients have responded: assets under management reached a record $253.6 billion at the end of June 2026, with $7.1 billion of net inflows in the first half. The Solutions programme's mix of portfolio management, quant and advisory rotations fits how I like to work, from testing which factor premia survive across 54 countries to explaining the results to people who need to act on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