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Millennium Capital Management (UK)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Analyst – Trading (Global Fixed Income, Currency and Commodities team) role in London. I am a final-year Economics student at the University of Strathclyde, graduating in summer 2027 with a predicted 2:1. Millennium's commitment to commodities, where natural gas trading drove much of its gains in 2023 and 2024, matches the market I know best.</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Millennium stands out to me because its platform gives individual teams real responsibility for risk, and its commitment to commodities runs deep, from the natural gas trading behind much of its commodities profit in 2023 and 2024 to its $1.5 billion backing of the Echion Capital commodities spin-out. A graduate role that mixes trading, research and software development across fixed income, currency and commodity markets suits someone whose dissertation links oil and currencies and whose work runs on code.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