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Susquehanna International Group</w:t>
      </w:r>
    </w:p>
    <w:p>
      <w:pPr>
        <w:spacing w:after="0"/>
      </w:pPr>
      <w:r>
        <w:rPr>
          <w:b w:val="0"/>
        </w:rPr>
        <w:t>34th Floor, 110 Bishopsgate</w:t>
      </w:r>
    </w:p>
    <w:p>
      <w:pPr>
        <w:spacing w:after="0"/>
      </w:pPr>
      <w:r>
        <w:rPr>
          <w:b w:val="0"/>
        </w:rPr>
        <w:t>London EC2N 4AY</w:t>
      </w:r>
    </w:p>
    <w:p>
      <w:pPr>
        <w:spacing w:after="0"/>
      </w:pPr>
      <w:r>
        <w:rPr>
          <w:b w:val="0"/>
        </w:rPr>
      </w:r>
    </w:p>
    <w:p>
      <w:pPr>
        <w:spacing w:after="160"/>
      </w:pPr>
      <w:r>
        <w:rPr>
          <w:b w:val="0"/>
        </w:rPr>
        <w:t>Dear Sir or Madam,</w:t>
      </w:r>
    </w:p>
    <w:p>
      <w:pPr>
        <w:spacing w:after="160"/>
      </w:pPr>
      <w:r>
        <w:rPr>
          <w:b w:val="0"/>
        </w:rPr>
        <w:t>I am applying for the Quantitative Trader – Graduate: 2027 role in London. I am a final-year Economics student at the University of Strathclyde, graduating in summer 2027 with a predicted 2:1. Susquehanna's training in game theory and decision-making under uncertainty appeals to me because those are the skills I rely on at the poker table.</w:t>
      </w:r>
    </w:p>
    <w:p>
      <w:pPr>
        <w:spacing w:after="160"/>
      </w:pPr>
      <w:r>
        <w:rPr>
          <w:b w:val="0"/>
        </w:rPr>
        <w:t>Most of what I am proudest of comes down to good decisions made with incomplete information. Playing 12 poker tables at once, I based every decision on expected value and set my stakes with the Kelly criterion, keeping at least 50 buy-ins because an edge estimated from my own results could be overstated.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 budget per semester and taught new members to use the same method to work out how many buy-ins their own win rate, variance and risk tolerance call for.</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Susquehanna stands out to me because its graduate traders are embedded on a desk and managing risk within the first few months, after an education covering options and ETF trading, game theory and programming, and because its London office is still growing. My Monte Carlo pricing engine, benchmarked against Black-Scholes, gave me a first look at how volatility drives option value, and I would like to learn to apply that on a desk where every decision is priced.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