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Maven Securities</w:t>
      </w:r>
    </w:p>
    <w:p>
      <w:pPr>
        <w:spacing w:after="0"/>
      </w:pPr>
      <w:r>
        <w:rPr>
          <w:b w:val="0"/>
        </w:rPr>
        <w:t>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Programme 2027 in Amsterdam. I am a final-year Economics student at the University of Strathclyde, graduating in summer 2027 with a predicted 2:1. Maven's options market making, where it is consistently ranked among the top three liquidity providers on the exchanges it trades, is the business I want to learn.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Playing 12 poker tables at once, I based every decision on expected value and set my stakes with the Kelly criterion, keeping at least 50 buy-ins because an edge estimated from my own results could be overstated.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 budget per semester and taught new members to use the same method to work out how many buy-ins their own win rate, variance and risk tolerance call for.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tests whether sovereign oil hedges make petro-currencies' oil betas smaller, kinked or one-sided on OPEC announcement days, with a pre-registered test of whether what remains is tradable.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Maven Securities stands out to me because it combines the reach of a top-three liquidity provider in listed options and futures with a size where a graduate's contribution is visible, and its programme begins with eleven weeks of structured training in London. Building my Monte Carlo pricer gave me a first-hand feel for how option values respond to volatility, and I would like to turn that understanding into quoting real markets.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