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Optiver</w:t>
      </w:r>
    </w:p>
    <w:p>
      <w:pPr>
        <w:spacing w:after="0"/>
      </w:pPr>
      <w:r>
        <w:rPr>
          <w:b w:val="0"/>
        </w:rPr>
        <w:t>Strawinskylaan 3095</w:t>
      </w:r>
    </w:p>
    <w:p>
      <w:pPr>
        <w:spacing w:after="0"/>
      </w:pPr>
      <w:r>
        <w:rPr>
          <w:b w:val="0"/>
        </w:rPr>
        <w:t>1077 ZX Amsterdam</w:t>
      </w:r>
    </w:p>
    <w:p>
      <w:pPr>
        <w:spacing w:after="0"/>
      </w:pPr>
      <w:r>
        <w:rPr>
          <w:b w:val="0"/>
        </w:rPr>
      </w:r>
    </w:p>
    <w:p>
      <w:pPr>
        <w:spacing w:after="160"/>
      </w:pPr>
      <w:r>
        <w:rPr>
          <w:b w:val="0"/>
        </w:rPr>
        <w:t>Dear Sir or Madam,</w:t>
      </w:r>
    </w:p>
    <w:p>
      <w:pPr>
        <w:spacing w:after="160"/>
      </w:pPr>
      <w:r>
        <w:rPr>
          <w:b w:val="0"/>
        </w:rPr>
        <w:t>I am applying for the Graduate Equity Analyst (2027 Start) role in Amsterdam. I am a final-year Economics student at the University of Strathclyde, graduating in summer 2027 with a predicted 2:1, and my strongest work sits where econometrics meets code. Optiver's Equity Analysts use current events and fundamental research to shape options trading decisions, which is close to the question my dissertation asks of OPEC announcements: how much does a piece of news move a price, and what changes that response?</w:t>
      </w:r>
    </w:p>
    <w:p>
      <w:pPr>
        <w:spacing w:after="160"/>
      </w:pPr>
      <w:r>
        <w:rPr>
          <w:b w:val="0"/>
        </w:rPr>
        <w:t>My dissertation, supervised by Dr Luigi Gifuni, asks who hedges the barrel: whether Norway's krone conversions, Russia's 2017–22 budget rule and Mexico's put hedge make their currencies' reactions to OPEC news smaller, kinked or one-sided. I am estimating those reactions in MATLAB from Känzig's OPEC announcement-day oil surprises, using difference-in-differences across dated policy changes and stripping out the dollar's own moves. I will then test a pre-registered trading rule on whatever reaction remains, after costs and a White reality check. Earlier, I built a Monte Carlo option pricer in which a geometric-Asian control variate cut the standard error of arithmetic-Asian estimates by 97% at 100,000 paths, and tested corn and soybean prices for cointegration in R. I work mainly in R and MATLAB and am strengthening my Python.</w:t>
      </w:r>
    </w:p>
    <w:p>
      <w:pPr>
        <w:spacing w:after="160"/>
      </w:pPr>
      <w:r>
        <w:rPr>
          <w:b w:val="0"/>
        </w:rPr>
        <w:t>Quantitative research appeals to me because it is honest: an idea only counts if it survives data it has not seen. Poker taught me the same respect for variance: playing 12 cash-game tables at once, I set my stakes with the Kelly criterion but kept at least 50 buy-ins in case I had overestimated my edge, and at the Strathclyde Poker Society I taught new members to size their own bankrolls the same way. I brought that discipline to the Strathclyde Agricapital Society, which I co-founded and grew to 126 members, where I built a wheat calendar-spread strategy whose weekly backtest returned a Sharpe ratio of 0.76 before costs and 0.28 after.</w:t>
      </w:r>
    </w:p>
    <w:p>
      <w:pPr>
        <w:spacing w:after="160"/>
      </w:pPr>
      <w:r>
        <w:rPr>
          <w:b w:val="0"/>
        </w:rPr>
        <w:t>Optiver's Equity Options Trading team stands out to me because its analysts sit on the trading floor and see their research tested against live volatility, starting with training through the Optiver Academy for Equity Analysts. Isolating the part of a currency's move that is really OPEC news, rather than the dollar or the day's other headlines, is teaching me how hard it is to separate information from noise, and I would like to apply that discipline to company events and the options priced on them.</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