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Statkraft UK</w:t>
      </w:r>
    </w:p>
    <w:p>
      <w:pPr>
        <w:spacing w:after="0"/>
      </w:pPr>
      <w:r>
        <w:rPr>
          <w:b w:val="0"/>
        </w:rPr>
        <w:t>41 Moorgate</w:t>
      </w:r>
    </w:p>
    <w:p>
      <w:pPr>
        <w:spacing w:after="0"/>
      </w:pPr>
      <w:r>
        <w:rPr>
          <w:b w:val="0"/>
        </w:rPr>
        <w:t>London EC2R 6PP</w:t>
      </w:r>
    </w:p>
    <w:p>
      <w:pPr>
        <w:spacing w:after="0"/>
      </w:pPr>
      <w:r>
        <w:rPr>
          <w:b w:val="0"/>
        </w:rPr>
      </w:r>
    </w:p>
    <w:p>
      <w:pPr>
        <w:spacing w:after="160"/>
      </w:pPr>
      <w:r>
        <w:rPr>
          <w:b w:val="0"/>
        </w:rPr>
        <w:t>Dear Sir or Madam,</w:t>
      </w:r>
    </w:p>
    <w:p>
      <w:pPr>
        <w:spacing w:after="160"/>
      </w:pPr>
      <w:r>
        <w:rPr>
          <w:b w:val="0"/>
        </w:rPr>
        <w:t>I am applying for the International Trainee Programme (autumn 2027) in London, with a particular interest in power and gas trading. I am a final-year Economics student at the University of Strathclyde, graduating in summer 2027 with a predicted 2:1. Statkraft's second-quarter 2026 results, in which higher Nordic power prices lifted underlying EBITDA to NOK 6.6 billion despite lower hydropower output, show how much value sits in managing price and volume risk together.</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Statkraft stands out to me because, as Europe's largest renewable generator, its trading desks must manage weather, hydrology and prices at the same time, and its international trainee programme gives graduates rotations across that business. My dissertation tests whether Norway's rule-based krone conversions shield the krone from oil news, so I would value learning how a Norwegian state-owned generator decides which energy-price risks to hedge and which to carry.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